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430" w:rsidRPr="001D40E9" w:rsidRDefault="006518D8" w:rsidP="00942430">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Graduate Student Criminal History Check Process</w:t>
      </w:r>
    </w:p>
    <w:p w:rsidR="00515204" w:rsidRDefault="00515204" w:rsidP="00725640">
      <w:pPr>
        <w:spacing w:after="0"/>
        <w:ind w:left="360"/>
        <w:rPr>
          <w:b/>
        </w:rPr>
      </w:pPr>
    </w:p>
    <w:p w:rsidR="004A22AE" w:rsidRDefault="00EB74F6" w:rsidP="00D50419">
      <w:pPr>
        <w:pStyle w:val="ListParagraph"/>
        <w:numPr>
          <w:ilvl w:val="0"/>
          <w:numId w:val="1"/>
        </w:numPr>
        <w:spacing w:after="0"/>
      </w:pPr>
      <w:r>
        <w:t>Before each semester</w:t>
      </w:r>
      <w:r w:rsidR="006518D8">
        <w:t xml:space="preserve">, </w:t>
      </w:r>
      <w:r>
        <w:t>Academic Resources will send an email to all departments</w:t>
      </w:r>
      <w:r w:rsidR="006518D8">
        <w:t xml:space="preserve"> with the “Graduate Student CHC Dept. Requests” spreadsheet, Graduate Student Offer Template, and Graduate Student Criminal History Check Process document attached. </w:t>
      </w:r>
    </w:p>
    <w:p w:rsidR="006518D8" w:rsidRDefault="006518D8" w:rsidP="004A22AE">
      <w:pPr>
        <w:pStyle w:val="ListParagraph"/>
        <w:numPr>
          <w:ilvl w:val="1"/>
          <w:numId w:val="1"/>
        </w:numPr>
        <w:spacing w:after="0"/>
      </w:pPr>
      <w:r>
        <w:t xml:space="preserve">The department must fill out the spreadsheet fields with the data for </w:t>
      </w:r>
      <w:r w:rsidRPr="004A22AE">
        <w:rPr>
          <w:u w:val="single"/>
        </w:rPr>
        <w:t>all</w:t>
      </w:r>
      <w:r>
        <w:t xml:space="preserve"> salaried graduate students being hired in the department and return</w:t>
      </w:r>
      <w:r w:rsidR="004A22AE">
        <w:t xml:space="preserve"> the spreadsheet</w:t>
      </w:r>
      <w:r>
        <w:t xml:space="preserve"> to Academic Resources </w:t>
      </w:r>
      <w:r w:rsidR="004A22AE">
        <w:t xml:space="preserve">via email </w:t>
      </w:r>
      <w:r w:rsidR="00E51215">
        <w:t xml:space="preserve">to </w:t>
      </w:r>
      <w:hyperlink r:id="rId8" w:history="1">
        <w:r w:rsidR="00E55666" w:rsidRPr="000A34A9">
          <w:rPr>
            <w:rStyle w:val="Hyperlink"/>
          </w:rPr>
          <w:t>academic.resources@unt.edu</w:t>
        </w:r>
      </w:hyperlink>
      <w:r w:rsidR="00E51215">
        <w:t xml:space="preserve"> </w:t>
      </w:r>
      <w:r>
        <w:t>by the due date for the appropriate semester listed below.</w:t>
      </w:r>
    </w:p>
    <w:p w:rsidR="00EB74F6" w:rsidRDefault="00EB74F6" w:rsidP="00EB74F6">
      <w:pPr>
        <w:pStyle w:val="ListParagraph"/>
        <w:numPr>
          <w:ilvl w:val="2"/>
          <w:numId w:val="1"/>
        </w:numPr>
        <w:spacing w:after="0"/>
      </w:pPr>
      <w:r>
        <w:t>Academic Resources will determine which students need criminal history checks and order them accordingly, per step 2 below.</w:t>
      </w:r>
      <w:r w:rsidR="00B80011">
        <w:t xml:space="preserve">  </w:t>
      </w:r>
      <w:r w:rsidR="00D71755" w:rsidRPr="00D71755">
        <w:rPr>
          <w:color w:val="FF0000"/>
        </w:rPr>
        <w:t xml:space="preserve"> XXXX BREAK in Service statement</w:t>
      </w:r>
    </w:p>
    <w:p w:rsidR="004A22AE" w:rsidRDefault="006518D8" w:rsidP="006518D8">
      <w:pPr>
        <w:pStyle w:val="ListParagraph"/>
        <w:numPr>
          <w:ilvl w:val="1"/>
          <w:numId w:val="1"/>
        </w:numPr>
        <w:spacing w:after="0"/>
      </w:pPr>
      <w:r>
        <w:t xml:space="preserve">Departments </w:t>
      </w:r>
      <w:r w:rsidR="00B80011">
        <w:t xml:space="preserve">must </w:t>
      </w:r>
      <w:r>
        <w:t xml:space="preserve">use Graduate Student Offer Template </w:t>
      </w:r>
      <w:r w:rsidR="004A22AE">
        <w:t>to draft and send</w:t>
      </w:r>
      <w:r>
        <w:t xml:space="preserve"> all their graduate student </w:t>
      </w:r>
      <w:bookmarkStart w:id="0" w:name="_GoBack"/>
      <w:bookmarkEnd w:id="0"/>
      <w:r>
        <w:t xml:space="preserve">offer letters. Letters can be issued from the department and returned to them. Academic Resources </w:t>
      </w:r>
      <w:r w:rsidR="005224E2">
        <w:t>will only receive an electronic copy via an attachment to the ePAR.</w:t>
      </w:r>
      <w:r>
        <w:t xml:space="preserve"> </w:t>
      </w:r>
    </w:p>
    <w:p w:rsidR="006518D8" w:rsidRDefault="006518D8" w:rsidP="004A22AE">
      <w:pPr>
        <w:pStyle w:val="ListParagraph"/>
        <w:numPr>
          <w:ilvl w:val="2"/>
          <w:numId w:val="1"/>
        </w:numPr>
        <w:spacing w:after="0"/>
      </w:pPr>
      <w:r>
        <w:t xml:space="preserve">Departments should inform their graduate students to expect a criminal </w:t>
      </w:r>
      <w:r w:rsidR="004A22AE">
        <w:t>history</w:t>
      </w:r>
      <w:r>
        <w:t xml:space="preserve"> check email request from HireRight sent to the preferred email listed on the spreadsheet</w:t>
      </w:r>
      <w:r w:rsidR="004A22AE">
        <w:t xml:space="preserve">. Students will need to complete and submit this request as soon as possible and no later than one week following its receipt or it will expire and need to be reissued. </w:t>
      </w:r>
    </w:p>
    <w:p w:rsidR="004A22AE" w:rsidRDefault="004A22AE" w:rsidP="004A22AE">
      <w:pPr>
        <w:pStyle w:val="ListParagraph"/>
        <w:numPr>
          <w:ilvl w:val="2"/>
          <w:numId w:val="1"/>
        </w:numPr>
        <w:spacing w:after="0"/>
      </w:pPr>
      <w:r w:rsidRPr="006518D8">
        <w:t>Signed</w:t>
      </w:r>
      <w:r>
        <w:t xml:space="preserve"> letters </w:t>
      </w:r>
      <w:r w:rsidRPr="006518D8">
        <w:rPr>
          <w:b/>
          <w:u w:val="single"/>
        </w:rPr>
        <w:t>must</w:t>
      </w:r>
      <w:r>
        <w:t xml:space="preserve"> be attached to the ePAR before it will be approved.</w:t>
      </w:r>
    </w:p>
    <w:p w:rsidR="006518D8" w:rsidRDefault="006518D8" w:rsidP="006518D8">
      <w:pPr>
        <w:pStyle w:val="ListParagraph"/>
        <w:spacing w:after="0"/>
      </w:pPr>
    </w:p>
    <w:p w:rsidR="006518D8" w:rsidRDefault="006518D8" w:rsidP="006518D8">
      <w:pPr>
        <w:pStyle w:val="ListParagraph"/>
        <w:pBdr>
          <w:top w:val="single" w:sz="4" w:space="1" w:color="auto"/>
          <w:left w:val="single" w:sz="4" w:space="4" w:color="auto"/>
          <w:bottom w:val="single" w:sz="4" w:space="1" w:color="auto"/>
          <w:right w:val="single" w:sz="4" w:space="4" w:color="auto"/>
        </w:pBdr>
        <w:spacing w:after="160" w:line="259" w:lineRule="auto"/>
      </w:pPr>
      <w:r w:rsidRPr="00E05BD4">
        <w:rPr>
          <w:u w:val="single"/>
        </w:rPr>
        <w:t>Fall</w:t>
      </w:r>
      <w:r>
        <w:t xml:space="preserve"> – </w:t>
      </w:r>
      <w:r w:rsidR="004A22AE">
        <w:t>Spreadsheet d</w:t>
      </w:r>
      <w:r>
        <w:t>ue back to Academic Resources 1</w:t>
      </w:r>
      <w:r w:rsidRPr="00744050">
        <w:rPr>
          <w:vertAlign w:val="superscript"/>
        </w:rPr>
        <w:t>st</w:t>
      </w:r>
      <w:r>
        <w:t xml:space="preserve"> business day of August</w:t>
      </w:r>
    </w:p>
    <w:p w:rsidR="006518D8" w:rsidRDefault="006518D8" w:rsidP="006518D8">
      <w:pPr>
        <w:pStyle w:val="ListParagraph"/>
        <w:pBdr>
          <w:top w:val="single" w:sz="4" w:space="1" w:color="auto"/>
          <w:left w:val="single" w:sz="4" w:space="4" w:color="auto"/>
          <w:bottom w:val="single" w:sz="4" w:space="1" w:color="auto"/>
          <w:right w:val="single" w:sz="4" w:space="4" w:color="auto"/>
        </w:pBdr>
        <w:spacing w:after="160" w:line="259" w:lineRule="auto"/>
      </w:pPr>
      <w:r w:rsidRPr="00E05BD4">
        <w:rPr>
          <w:u w:val="single"/>
        </w:rPr>
        <w:t>Spring</w:t>
      </w:r>
      <w:r>
        <w:t xml:space="preserve"> – </w:t>
      </w:r>
      <w:r w:rsidR="004A22AE">
        <w:t xml:space="preserve">Spreadsheet due </w:t>
      </w:r>
      <w:r>
        <w:t>back to Academic Resources 1</w:t>
      </w:r>
      <w:r w:rsidRPr="00744050">
        <w:rPr>
          <w:vertAlign w:val="superscript"/>
        </w:rPr>
        <w:t>st</w:t>
      </w:r>
      <w:r>
        <w:t xml:space="preserve"> business day of December </w:t>
      </w:r>
    </w:p>
    <w:p w:rsidR="006518D8" w:rsidRDefault="006518D8" w:rsidP="006518D8">
      <w:pPr>
        <w:pStyle w:val="ListParagraph"/>
        <w:pBdr>
          <w:top w:val="single" w:sz="4" w:space="1" w:color="auto"/>
          <w:left w:val="single" w:sz="4" w:space="4" w:color="auto"/>
          <w:bottom w:val="single" w:sz="4" w:space="1" w:color="auto"/>
          <w:right w:val="single" w:sz="4" w:space="4" w:color="auto"/>
        </w:pBdr>
        <w:spacing w:after="160" w:line="259" w:lineRule="auto"/>
      </w:pPr>
      <w:r w:rsidRPr="00E05BD4">
        <w:rPr>
          <w:u w:val="single"/>
        </w:rPr>
        <w:t>Summer</w:t>
      </w:r>
      <w:r>
        <w:t xml:space="preserve"> – </w:t>
      </w:r>
      <w:r w:rsidR="004A22AE">
        <w:t>Spreadsheet due</w:t>
      </w:r>
      <w:r>
        <w:t xml:space="preserve"> back to Academic Resources 1</w:t>
      </w:r>
      <w:r w:rsidRPr="00744050">
        <w:rPr>
          <w:vertAlign w:val="superscript"/>
        </w:rPr>
        <w:t>st</w:t>
      </w:r>
      <w:r>
        <w:t xml:space="preserve"> business day of May </w:t>
      </w:r>
    </w:p>
    <w:p w:rsidR="006518D8" w:rsidRDefault="006518D8" w:rsidP="006518D8">
      <w:pPr>
        <w:pStyle w:val="ListParagraph"/>
        <w:spacing w:after="0"/>
      </w:pPr>
    </w:p>
    <w:p w:rsidR="004A22AE" w:rsidRDefault="004A22AE" w:rsidP="006518D8">
      <w:pPr>
        <w:pStyle w:val="ListParagraph"/>
        <w:numPr>
          <w:ilvl w:val="0"/>
          <w:numId w:val="1"/>
        </w:numPr>
      </w:pPr>
      <w:r>
        <w:t xml:space="preserve">Upon receipt of the department’s spreadsheet, </w:t>
      </w:r>
      <w:r w:rsidR="006518D8">
        <w:t xml:space="preserve">Academic Resources will submit the CHC requests to HireRight, </w:t>
      </w:r>
      <w:r>
        <w:t>using the spreadsheet data provided.</w:t>
      </w:r>
    </w:p>
    <w:p w:rsidR="004A22AE" w:rsidRDefault="006518D8" w:rsidP="006518D8">
      <w:pPr>
        <w:pStyle w:val="ListParagraph"/>
        <w:numPr>
          <w:ilvl w:val="0"/>
          <w:numId w:val="1"/>
        </w:numPr>
      </w:pPr>
      <w:r>
        <w:t xml:space="preserve">HireRight will send </w:t>
      </w:r>
      <w:r w:rsidR="004A22AE">
        <w:t>each</w:t>
      </w:r>
      <w:r>
        <w:t xml:space="preserve"> </w:t>
      </w:r>
      <w:r w:rsidR="004A22AE">
        <w:t>student</w:t>
      </w:r>
      <w:r>
        <w:t xml:space="preserve"> an email with instr</w:t>
      </w:r>
      <w:r w:rsidR="004A22AE">
        <w:t>uctions on how to log into Hire</w:t>
      </w:r>
      <w:r>
        <w:t xml:space="preserve">Right and complete the </w:t>
      </w:r>
      <w:r w:rsidR="004A22AE">
        <w:t>criminal history</w:t>
      </w:r>
      <w:r>
        <w:t xml:space="preserve"> check form online. </w:t>
      </w:r>
    </w:p>
    <w:p w:rsidR="00112B41" w:rsidRDefault="006518D8" w:rsidP="00112B41">
      <w:pPr>
        <w:pStyle w:val="ListParagraph"/>
        <w:numPr>
          <w:ilvl w:val="0"/>
          <w:numId w:val="1"/>
        </w:numPr>
      </w:pPr>
      <w:r>
        <w:t xml:space="preserve">The </w:t>
      </w:r>
      <w:r w:rsidR="004A22AE">
        <w:t>student</w:t>
      </w:r>
      <w:r>
        <w:t xml:space="preserve"> will complete their part of the </w:t>
      </w:r>
      <w:r w:rsidR="004A22AE">
        <w:t>criminal history</w:t>
      </w:r>
      <w:r>
        <w:t xml:space="preserve"> check via HireRight.</w:t>
      </w:r>
    </w:p>
    <w:p w:rsidR="00112B41" w:rsidRDefault="00112B41" w:rsidP="00112B41">
      <w:pPr>
        <w:pStyle w:val="ListParagraph"/>
        <w:numPr>
          <w:ilvl w:val="1"/>
          <w:numId w:val="1"/>
        </w:numPr>
      </w:pPr>
      <w:r>
        <w:t>Typical turnaround time for a CHC is 1-3 business days.</w:t>
      </w:r>
    </w:p>
    <w:p w:rsidR="004A22AE" w:rsidRDefault="004A22AE" w:rsidP="004A22AE">
      <w:pPr>
        <w:pStyle w:val="ListParagraph"/>
        <w:numPr>
          <w:ilvl w:val="0"/>
          <w:numId w:val="1"/>
        </w:numPr>
      </w:pPr>
      <w:r>
        <w:t xml:space="preserve">When criminal history check is cleared, Academic Resources will forward the cleared results email from HireRight to the department, </w:t>
      </w:r>
      <w:r w:rsidR="006518D8">
        <w:t xml:space="preserve">indicating that they </w:t>
      </w:r>
      <w:r>
        <w:t xml:space="preserve">can submit this student’s ePAR </w:t>
      </w:r>
      <w:r w:rsidR="006518D8">
        <w:t>after ePAR instructions for the appropri</w:t>
      </w:r>
      <w:r>
        <w:t>ate semester have been sent out.</w:t>
      </w:r>
      <w:r w:rsidR="00F722BB">
        <w:t xml:space="preserve">  In the event of an adverse report</w:t>
      </w:r>
      <w:r w:rsidR="00227B22">
        <w:t>, Academic Resources will be in direct contact with the Department Chair and/or the direct supervisor of the student.</w:t>
      </w:r>
    </w:p>
    <w:p w:rsidR="004A22AE" w:rsidRDefault="00EB74F6" w:rsidP="004A22AE">
      <w:pPr>
        <w:pStyle w:val="ListParagraph"/>
        <w:numPr>
          <w:ilvl w:val="0"/>
          <w:numId w:val="1"/>
        </w:numPr>
      </w:pPr>
      <w:r>
        <w:t xml:space="preserve">Departments submit graduate student ePARs. </w:t>
      </w:r>
      <w:r w:rsidR="004A22AE" w:rsidRPr="000A7B18">
        <w:rPr>
          <w:i/>
        </w:rPr>
        <w:t xml:space="preserve">Graduate student ePARs will not be approved without a signed letter attached </w:t>
      </w:r>
      <w:r w:rsidR="004A22AE">
        <w:t>and a cleared criminal history check completed through Academic Resources, if required.</w:t>
      </w:r>
    </w:p>
    <w:p w:rsidR="00227B22" w:rsidRPr="00227B22" w:rsidRDefault="005224E2" w:rsidP="004A22AE">
      <w:pPr>
        <w:pStyle w:val="ListParagraph"/>
        <w:numPr>
          <w:ilvl w:val="0"/>
          <w:numId w:val="1"/>
        </w:numPr>
        <w:rPr>
          <w:b/>
          <w:i/>
        </w:rPr>
      </w:pPr>
      <w:r w:rsidRPr="005224E2">
        <w:rPr>
          <w:b/>
          <w:i/>
        </w:rPr>
        <w:t>NOTE:</w:t>
      </w:r>
      <w:r>
        <w:rPr>
          <w:b/>
          <w:i/>
        </w:rPr>
        <w:t xml:space="preserve"> </w:t>
      </w:r>
      <w:r w:rsidR="000A7B18">
        <w:t xml:space="preserve">When additional student(s) are hired after a spreadsheet for a given semester has been submitted, or </w:t>
      </w:r>
      <w:r w:rsidR="00F2001E">
        <w:t>a</w:t>
      </w:r>
      <w:r>
        <w:t xml:space="preserve"> student is hired with a hire date other than the standard dates (9/1, 1/15, 6/1 or 7/15)</w:t>
      </w:r>
      <w:r w:rsidR="000A7B18">
        <w:t xml:space="preserve">, a </w:t>
      </w:r>
      <w:r w:rsidR="000A7B18" w:rsidRPr="00E51215">
        <w:rPr>
          <w:i/>
        </w:rPr>
        <w:t>new</w:t>
      </w:r>
      <w:r w:rsidR="000A7B18" w:rsidRPr="00746D43">
        <w:rPr>
          <w:b/>
          <w:i/>
        </w:rPr>
        <w:t xml:space="preserve"> </w:t>
      </w:r>
      <w:r w:rsidR="000A7B18">
        <w:t xml:space="preserve">spreadsheet </w:t>
      </w:r>
      <w:r w:rsidR="00E51215">
        <w:t xml:space="preserve">containing </w:t>
      </w:r>
      <w:r w:rsidR="00E51215" w:rsidRPr="00E51215">
        <w:rPr>
          <w:i/>
        </w:rPr>
        <w:t>only</w:t>
      </w:r>
      <w:r w:rsidR="00E51215">
        <w:t xml:space="preserve"> those not previously should be submitted </w:t>
      </w:r>
      <w:r>
        <w:t xml:space="preserve">to </w:t>
      </w:r>
      <w:hyperlink r:id="rId9" w:history="1">
        <w:r w:rsidRPr="000A34A9">
          <w:rPr>
            <w:rStyle w:val="Hyperlink"/>
          </w:rPr>
          <w:t>academic.resources@unt.edu</w:t>
        </w:r>
      </w:hyperlink>
      <w:r>
        <w:t xml:space="preserve"> so that a check can be initiated if needed.</w:t>
      </w:r>
    </w:p>
    <w:p w:rsidR="005224E2" w:rsidRPr="00227B22" w:rsidRDefault="00227B22" w:rsidP="00227B22">
      <w:pPr>
        <w:pStyle w:val="ListParagraph"/>
        <w:numPr>
          <w:ilvl w:val="0"/>
          <w:numId w:val="1"/>
        </w:numPr>
        <w:rPr>
          <w:b/>
          <w:i/>
        </w:rPr>
      </w:pPr>
      <w:r w:rsidRPr="00227B22">
        <w:rPr>
          <w:b/>
        </w:rPr>
        <w:t>NOTE:</w:t>
      </w:r>
      <w:r>
        <w:t xml:space="preserve">  All relevant documents can also be obtained at </w:t>
      </w:r>
      <w:r w:rsidR="005224E2">
        <w:t xml:space="preserve"> </w:t>
      </w:r>
      <w:hyperlink r:id="rId10" w:history="1">
        <w:r w:rsidRPr="00DD2F46">
          <w:rPr>
            <w:rStyle w:val="Hyperlink"/>
          </w:rPr>
          <w:t>https://vpaa.unt.edu/resources/retention</w:t>
        </w:r>
      </w:hyperlink>
    </w:p>
    <w:p w:rsidR="00F31ACF" w:rsidRPr="004A22AE" w:rsidRDefault="00F31ACF" w:rsidP="00033026">
      <w:pPr>
        <w:pStyle w:val="ListParagraph"/>
        <w:numPr>
          <w:ilvl w:val="0"/>
          <w:numId w:val="1"/>
        </w:numPr>
        <w:spacing w:after="120"/>
      </w:pPr>
      <w:r w:rsidRPr="004A22AE">
        <w:rPr>
          <w:b/>
        </w:rPr>
        <w:t>Resources</w:t>
      </w:r>
      <w:r w:rsidRPr="004A22AE">
        <w:t>:</w:t>
      </w:r>
    </w:p>
    <w:p w:rsidR="006518D8" w:rsidRDefault="006518D8" w:rsidP="00732AAA">
      <w:pPr>
        <w:pStyle w:val="ListParagraph"/>
        <w:numPr>
          <w:ilvl w:val="1"/>
          <w:numId w:val="1"/>
        </w:numPr>
        <w:spacing w:after="120"/>
      </w:pPr>
      <w:r>
        <w:t>Davelyn McCartney, Academic Resources Assistant, ext. 3512</w:t>
      </w:r>
    </w:p>
    <w:p w:rsidR="00732AAA" w:rsidRDefault="005703D8" w:rsidP="00732AAA">
      <w:pPr>
        <w:pStyle w:val="ListParagraph"/>
        <w:numPr>
          <w:ilvl w:val="1"/>
          <w:numId w:val="1"/>
        </w:numPr>
        <w:spacing w:after="120"/>
      </w:pPr>
      <w:r>
        <w:t>Abby Ogenche</w:t>
      </w:r>
      <w:r w:rsidR="001534CB">
        <w:t>,</w:t>
      </w:r>
      <w:r>
        <w:t xml:space="preserve"> Academic Resources Assistant,</w:t>
      </w:r>
      <w:r w:rsidR="001534CB">
        <w:t xml:space="preserve"> </w:t>
      </w:r>
      <w:r w:rsidR="00732AAA">
        <w:t>ext</w:t>
      </w:r>
      <w:r w:rsidR="003F498B">
        <w:t>.</w:t>
      </w:r>
      <w:r w:rsidR="00732AAA">
        <w:t xml:space="preserve"> 2138</w:t>
      </w:r>
    </w:p>
    <w:p w:rsidR="00F31ACF" w:rsidRDefault="001534CB" w:rsidP="00732AAA">
      <w:pPr>
        <w:pStyle w:val="ListParagraph"/>
        <w:numPr>
          <w:ilvl w:val="1"/>
          <w:numId w:val="1"/>
        </w:numPr>
        <w:spacing w:after="120"/>
      </w:pPr>
      <w:r>
        <w:t xml:space="preserve">Melissa </w:t>
      </w:r>
      <w:r w:rsidR="006518D8">
        <w:t>Holland</w:t>
      </w:r>
      <w:r>
        <w:t xml:space="preserve">, </w:t>
      </w:r>
      <w:r w:rsidR="005703D8">
        <w:t>Academic Resources</w:t>
      </w:r>
      <w:r w:rsidR="00033026">
        <w:t xml:space="preserve"> </w:t>
      </w:r>
      <w:r w:rsidR="00F31ACF">
        <w:t>Coordinator, ext. 2673</w:t>
      </w:r>
    </w:p>
    <w:p w:rsidR="007B1F76" w:rsidRDefault="00F31ACF" w:rsidP="00033026">
      <w:pPr>
        <w:pStyle w:val="ListParagraph"/>
        <w:numPr>
          <w:ilvl w:val="1"/>
          <w:numId w:val="1"/>
        </w:numPr>
        <w:spacing w:after="120"/>
      </w:pPr>
      <w:r>
        <w:t xml:space="preserve">Tami Patterson, </w:t>
      </w:r>
      <w:r w:rsidR="001534CB">
        <w:t xml:space="preserve"> </w:t>
      </w:r>
      <w:r w:rsidR="005703D8">
        <w:t>Academic Resources</w:t>
      </w:r>
      <w:r w:rsidR="001534CB">
        <w:t xml:space="preserve"> Generalist, </w:t>
      </w:r>
      <w:r w:rsidR="002B6E59">
        <w:t>ext. 3953</w:t>
      </w:r>
    </w:p>
    <w:p w:rsidR="001F2C8B" w:rsidRDefault="007B1F76" w:rsidP="007B1F76">
      <w:r>
        <w:br w:type="page"/>
      </w:r>
      <w:r w:rsidR="00B33A63">
        <w:rPr>
          <w:noProof/>
        </w:rPr>
        <w:drawing>
          <wp:inline distT="0" distB="0" distL="0" distR="0" wp14:anchorId="0DCD7D43" wp14:editId="081FD1A9">
            <wp:extent cx="6858000" cy="4006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4006215"/>
                    </a:xfrm>
                    <a:prstGeom prst="rect">
                      <a:avLst/>
                    </a:prstGeom>
                  </pic:spPr>
                </pic:pic>
              </a:graphicData>
            </a:graphic>
          </wp:inline>
        </w:drawing>
      </w:r>
    </w:p>
    <w:sectPr w:rsidR="001F2C8B" w:rsidSect="006C0F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6FA" w:rsidRDefault="00E636FA" w:rsidP="009117FA">
      <w:pPr>
        <w:spacing w:after="0" w:line="240" w:lineRule="auto"/>
      </w:pPr>
      <w:r>
        <w:separator/>
      </w:r>
    </w:p>
  </w:endnote>
  <w:endnote w:type="continuationSeparator" w:id="0">
    <w:p w:rsidR="00E636FA" w:rsidRDefault="00E636FA" w:rsidP="0091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6FA" w:rsidRDefault="00E636FA" w:rsidP="009117FA">
      <w:pPr>
        <w:spacing w:after="0" w:line="240" w:lineRule="auto"/>
      </w:pPr>
      <w:r>
        <w:separator/>
      </w:r>
    </w:p>
  </w:footnote>
  <w:footnote w:type="continuationSeparator" w:id="0">
    <w:p w:rsidR="00E636FA" w:rsidRDefault="00E636FA" w:rsidP="00911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9010E"/>
    <w:multiLevelType w:val="hybridMultilevel"/>
    <w:tmpl w:val="48705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351AAD"/>
    <w:multiLevelType w:val="hybridMultilevel"/>
    <w:tmpl w:val="1E9220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45551"/>
    <w:multiLevelType w:val="hybridMultilevel"/>
    <w:tmpl w:val="AF68C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57C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4AE6B6C"/>
    <w:multiLevelType w:val="hybridMultilevel"/>
    <w:tmpl w:val="BE14BFA6"/>
    <w:lvl w:ilvl="0" w:tplc="38D25F98">
      <w:numFmt w:val="bullet"/>
      <w:lvlText w:val="-"/>
      <w:lvlJc w:val="left"/>
      <w:pPr>
        <w:ind w:left="720" w:hanging="360"/>
      </w:pPr>
      <w:rPr>
        <w:rFonts w:ascii="Calibri" w:eastAsiaTheme="minorHAnsi" w:hAnsi="Calibri" w:cstheme="minorBidi" w:hint="default"/>
      </w:rPr>
    </w:lvl>
    <w:lvl w:ilvl="1" w:tplc="E18A2500">
      <w:start w:val="1"/>
      <w:numFmt w:val="bullet"/>
      <w:lvlText w:val="o"/>
      <w:lvlJc w:val="left"/>
      <w:pPr>
        <w:ind w:left="1440" w:hanging="360"/>
      </w:pPr>
      <w:rPr>
        <w:rFonts w:ascii="Courier New" w:hAnsi="Courier New" w:cs="Courier New"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F25AD"/>
    <w:multiLevelType w:val="hybridMultilevel"/>
    <w:tmpl w:val="8D322E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30"/>
    <w:rsid w:val="00013989"/>
    <w:rsid w:val="00020445"/>
    <w:rsid w:val="00025E37"/>
    <w:rsid w:val="00033026"/>
    <w:rsid w:val="000364B0"/>
    <w:rsid w:val="0004096B"/>
    <w:rsid w:val="000637CE"/>
    <w:rsid w:val="00075BDD"/>
    <w:rsid w:val="00091D83"/>
    <w:rsid w:val="000A7B18"/>
    <w:rsid w:val="000D5453"/>
    <w:rsid w:val="001023B6"/>
    <w:rsid w:val="00112B41"/>
    <w:rsid w:val="00132B5B"/>
    <w:rsid w:val="001534CB"/>
    <w:rsid w:val="00165F39"/>
    <w:rsid w:val="0017655F"/>
    <w:rsid w:val="001C0C07"/>
    <w:rsid w:val="001F2C8B"/>
    <w:rsid w:val="00227B22"/>
    <w:rsid w:val="00290BF3"/>
    <w:rsid w:val="00294898"/>
    <w:rsid w:val="002A1968"/>
    <w:rsid w:val="002B6E59"/>
    <w:rsid w:val="002E58CE"/>
    <w:rsid w:val="0030305E"/>
    <w:rsid w:val="003A142A"/>
    <w:rsid w:val="003F498B"/>
    <w:rsid w:val="00407559"/>
    <w:rsid w:val="00436EA0"/>
    <w:rsid w:val="00455685"/>
    <w:rsid w:val="004A04D9"/>
    <w:rsid w:val="004A22AE"/>
    <w:rsid w:val="004A7C88"/>
    <w:rsid w:val="004C7AB2"/>
    <w:rsid w:val="004D319E"/>
    <w:rsid w:val="00515204"/>
    <w:rsid w:val="00516FFE"/>
    <w:rsid w:val="005224E2"/>
    <w:rsid w:val="005703D8"/>
    <w:rsid w:val="00571CFD"/>
    <w:rsid w:val="005812AD"/>
    <w:rsid w:val="005B2A79"/>
    <w:rsid w:val="005C4BE0"/>
    <w:rsid w:val="00613986"/>
    <w:rsid w:val="006518D8"/>
    <w:rsid w:val="00665A11"/>
    <w:rsid w:val="00674EC1"/>
    <w:rsid w:val="00677DB1"/>
    <w:rsid w:val="00687971"/>
    <w:rsid w:val="00695FE8"/>
    <w:rsid w:val="006C03BD"/>
    <w:rsid w:val="006C0F1D"/>
    <w:rsid w:val="006E614A"/>
    <w:rsid w:val="00706DF0"/>
    <w:rsid w:val="00725640"/>
    <w:rsid w:val="00732AAA"/>
    <w:rsid w:val="007406FE"/>
    <w:rsid w:val="00746D43"/>
    <w:rsid w:val="007513A1"/>
    <w:rsid w:val="00760729"/>
    <w:rsid w:val="007911ED"/>
    <w:rsid w:val="007B1F76"/>
    <w:rsid w:val="007D10BC"/>
    <w:rsid w:val="007D1A34"/>
    <w:rsid w:val="00800FE0"/>
    <w:rsid w:val="0082111A"/>
    <w:rsid w:val="00826C82"/>
    <w:rsid w:val="008777F5"/>
    <w:rsid w:val="008B35AA"/>
    <w:rsid w:val="008C589F"/>
    <w:rsid w:val="009117FA"/>
    <w:rsid w:val="00942430"/>
    <w:rsid w:val="00947619"/>
    <w:rsid w:val="009D0C0F"/>
    <w:rsid w:val="009F59B9"/>
    <w:rsid w:val="009F5B6D"/>
    <w:rsid w:val="00A0260C"/>
    <w:rsid w:val="00A45AF5"/>
    <w:rsid w:val="00A93B5A"/>
    <w:rsid w:val="00AD669A"/>
    <w:rsid w:val="00B33A63"/>
    <w:rsid w:val="00B626CA"/>
    <w:rsid w:val="00B756FA"/>
    <w:rsid w:val="00B80011"/>
    <w:rsid w:val="00BF2512"/>
    <w:rsid w:val="00C61D73"/>
    <w:rsid w:val="00C848A9"/>
    <w:rsid w:val="00CA5AA0"/>
    <w:rsid w:val="00CB3D68"/>
    <w:rsid w:val="00CC3025"/>
    <w:rsid w:val="00D347E6"/>
    <w:rsid w:val="00D632E6"/>
    <w:rsid w:val="00D71755"/>
    <w:rsid w:val="00D851D0"/>
    <w:rsid w:val="00DA5803"/>
    <w:rsid w:val="00DA5868"/>
    <w:rsid w:val="00DC0C84"/>
    <w:rsid w:val="00DD498D"/>
    <w:rsid w:val="00DE27C0"/>
    <w:rsid w:val="00E1324E"/>
    <w:rsid w:val="00E15756"/>
    <w:rsid w:val="00E51215"/>
    <w:rsid w:val="00E55666"/>
    <w:rsid w:val="00E60B3A"/>
    <w:rsid w:val="00E636FA"/>
    <w:rsid w:val="00EB74F6"/>
    <w:rsid w:val="00F2001E"/>
    <w:rsid w:val="00F31ACF"/>
    <w:rsid w:val="00F65EA4"/>
    <w:rsid w:val="00F722BB"/>
    <w:rsid w:val="00F75A9D"/>
    <w:rsid w:val="00FE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BBFFC1"/>
  <w15:docId w15:val="{474570FC-B681-42C1-BE2D-EFF8702C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4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430"/>
    <w:pPr>
      <w:ind w:left="720"/>
      <w:contextualSpacing/>
    </w:pPr>
  </w:style>
  <w:style w:type="paragraph" w:styleId="Header">
    <w:name w:val="header"/>
    <w:basedOn w:val="Normal"/>
    <w:link w:val="HeaderChar"/>
    <w:uiPriority w:val="99"/>
    <w:unhideWhenUsed/>
    <w:rsid w:val="00911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7FA"/>
    <w:rPr>
      <w:rFonts w:ascii="Calibri" w:eastAsia="Calibri" w:hAnsi="Calibri" w:cs="Times New Roman"/>
    </w:rPr>
  </w:style>
  <w:style w:type="paragraph" w:styleId="Footer">
    <w:name w:val="footer"/>
    <w:basedOn w:val="Normal"/>
    <w:link w:val="FooterChar"/>
    <w:uiPriority w:val="99"/>
    <w:unhideWhenUsed/>
    <w:rsid w:val="00911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7FA"/>
    <w:rPr>
      <w:rFonts w:ascii="Calibri" w:eastAsia="Calibri" w:hAnsi="Calibri" w:cs="Times New Roman"/>
    </w:rPr>
  </w:style>
  <w:style w:type="paragraph" w:styleId="BalloonText">
    <w:name w:val="Balloon Text"/>
    <w:basedOn w:val="Normal"/>
    <w:link w:val="BalloonTextChar"/>
    <w:uiPriority w:val="99"/>
    <w:semiHidden/>
    <w:unhideWhenUsed/>
    <w:rsid w:val="00DE2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7C0"/>
    <w:rPr>
      <w:rFonts w:ascii="Tahoma" w:eastAsia="Calibri" w:hAnsi="Tahoma" w:cs="Tahoma"/>
      <w:sz w:val="16"/>
      <w:szCs w:val="16"/>
    </w:rPr>
  </w:style>
  <w:style w:type="paragraph" w:styleId="NoSpacing">
    <w:name w:val="No Spacing"/>
    <w:uiPriority w:val="1"/>
    <w:qFormat/>
    <w:rsid w:val="007911ED"/>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224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resources@un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vpaa.unt.edu/resources/retention" TargetMode="External"/><Relationship Id="rId4" Type="http://schemas.openxmlformats.org/officeDocument/2006/relationships/settings" Target="settings.xml"/><Relationship Id="rId9" Type="http://schemas.openxmlformats.org/officeDocument/2006/relationships/hyperlink" Target="mailto:academic.resources@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BBBAE-964A-4128-B26C-D42DADD0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alr0181</dc:creator>
  <cp:lastModifiedBy>Patterson, Tami</cp:lastModifiedBy>
  <cp:revision>9</cp:revision>
  <cp:lastPrinted>2016-03-17T20:38:00Z</cp:lastPrinted>
  <dcterms:created xsi:type="dcterms:W3CDTF">2019-09-25T18:34:00Z</dcterms:created>
  <dcterms:modified xsi:type="dcterms:W3CDTF">2019-09-26T15:29:00Z</dcterms:modified>
</cp:coreProperties>
</file>