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B6EE1" w14:textId="604CC067" w:rsidR="000D030A" w:rsidRPr="000D030A" w:rsidRDefault="000D030A" w:rsidP="000D030A">
      <w:pPr>
        <w:jc w:val="center"/>
        <w:rPr>
          <w:b/>
          <w:bCs/>
        </w:rPr>
      </w:pPr>
      <w:r w:rsidRPr="000D030A">
        <w:rPr>
          <w:b/>
          <w:bCs/>
        </w:rPr>
        <w:t>Research Buyout and Salary Savings Return Guideline</w:t>
      </w:r>
    </w:p>
    <w:p w14:paraId="7B7E23A1" w14:textId="13E9DF4B" w:rsidR="000D030A" w:rsidRDefault="000D030A"/>
    <w:p w14:paraId="0E27FD51" w14:textId="6C215A64" w:rsidR="00FD7B17" w:rsidRDefault="00FD7B17">
      <w:r w:rsidRPr="00FD7B17">
        <w:rPr>
          <w:b/>
          <w:bCs/>
          <w:u w:val="single"/>
        </w:rPr>
        <w:t>Purpose</w:t>
      </w:r>
      <w:r>
        <w:t>: To support the development of and incentives</w:t>
      </w:r>
      <w:r w:rsidR="00B514EF">
        <w:t xml:space="preserve"> for</w:t>
      </w:r>
      <w:r>
        <w:t xml:space="preserve"> robust research programs.</w:t>
      </w:r>
    </w:p>
    <w:p w14:paraId="1AC37152" w14:textId="72F0298E" w:rsidR="00FD7B17" w:rsidRDefault="006F7246">
      <w:r>
        <w:t>Add not for increasing I</w:t>
      </w:r>
      <w:r w:rsidR="006E7590">
        <w:t>nstitutional Base Salary.</w:t>
      </w:r>
    </w:p>
    <w:p w14:paraId="253819F0" w14:textId="77777777" w:rsidR="006F7246" w:rsidRDefault="006F7246"/>
    <w:p w14:paraId="12227AE4" w14:textId="4CCBDC84" w:rsidR="000D030A" w:rsidRDefault="000D030A">
      <w:r w:rsidRPr="345F92BF">
        <w:rPr>
          <w:b/>
          <w:bCs/>
          <w:u w:val="single"/>
        </w:rPr>
        <w:t>Program Goals/Objectives:</w:t>
      </w:r>
      <w:r>
        <w:t xml:space="preserve"> The goal of this program is to </w:t>
      </w:r>
      <w:r w:rsidR="00461197">
        <w:t>incentivize</w:t>
      </w:r>
      <w:r>
        <w:t xml:space="preserve"> and encourage sponsored projects for research activities. </w:t>
      </w:r>
      <w:r w:rsidR="00B514EF" w:rsidRPr="345F92BF">
        <w:rPr>
          <w:b/>
          <w:bCs/>
          <w:i/>
          <w:iCs/>
        </w:rPr>
        <w:t xml:space="preserve">This program is for faculty to meet the goals associated with </w:t>
      </w:r>
      <w:r w:rsidR="00B514EF" w:rsidRPr="007D0A52">
        <w:rPr>
          <w:b/>
          <w:bCs/>
          <w:i/>
          <w:iCs/>
          <w:u w:val="single"/>
        </w:rPr>
        <w:t>substantial</w:t>
      </w:r>
      <w:r w:rsidR="00B514EF" w:rsidRPr="345F92BF">
        <w:rPr>
          <w:b/>
          <w:bCs/>
          <w:i/>
          <w:iCs/>
        </w:rPr>
        <w:t xml:space="preserve"> research funding and high-intensity research programs</w:t>
      </w:r>
      <w:r w:rsidR="00B514EF">
        <w:t xml:space="preserve">. </w:t>
      </w:r>
      <w:r w:rsidR="007D0A52">
        <w:t xml:space="preserve"> </w:t>
      </w:r>
      <w:r w:rsidR="00461197">
        <w:t>For consistency, this research buyout guideline should be applied equally across all departments</w:t>
      </w:r>
      <w:r w:rsidR="006E7590">
        <w:t>, schools, institutes</w:t>
      </w:r>
      <w:r w:rsidR="00461197">
        <w:t xml:space="preserve"> and colleges.</w:t>
      </w:r>
    </w:p>
    <w:p w14:paraId="295079D3" w14:textId="77E138A0" w:rsidR="000D030A" w:rsidRDefault="000D030A"/>
    <w:p w14:paraId="16464764" w14:textId="4A1A1686" w:rsidR="00B514EF" w:rsidRDefault="00B514EF">
      <w:r w:rsidRPr="00E57057">
        <w:rPr>
          <w:b/>
          <w:bCs/>
          <w:u w:val="single"/>
        </w:rPr>
        <w:t xml:space="preserve">Concept </w:t>
      </w:r>
      <w:r w:rsidR="00E57057" w:rsidRPr="00E57057">
        <w:rPr>
          <w:b/>
          <w:bCs/>
          <w:u w:val="single"/>
        </w:rPr>
        <w:t>behind the</w:t>
      </w:r>
      <w:r w:rsidRPr="00E57057">
        <w:rPr>
          <w:b/>
          <w:bCs/>
          <w:u w:val="single"/>
        </w:rPr>
        <w:t xml:space="preserve"> faculty salary distribution</w:t>
      </w:r>
      <w:r w:rsidR="00E57057" w:rsidRPr="00E57057">
        <w:rPr>
          <w:b/>
          <w:bCs/>
          <w:u w:val="single"/>
        </w:rPr>
        <w:t xml:space="preserve"> program</w:t>
      </w:r>
      <w:r w:rsidRPr="00E57057">
        <w:rPr>
          <w:u w:val="single"/>
        </w:rPr>
        <w:t>:</w:t>
      </w:r>
      <w:r>
        <w:t xml:space="preserve"> The </w:t>
      </w:r>
      <w:r w:rsidR="00E472E7">
        <w:t xml:space="preserve">underlying </w:t>
      </w:r>
      <w:r>
        <w:t xml:space="preserve">concept </w:t>
      </w:r>
      <w:r w:rsidR="00E472E7">
        <w:t>of</w:t>
      </w:r>
      <w:r>
        <w:t xml:space="preserve"> this program is that outside sponsored research can financially contribute to the </w:t>
      </w:r>
      <w:r w:rsidRPr="001E3FB8">
        <w:rPr>
          <w:u w:val="single"/>
        </w:rPr>
        <w:t xml:space="preserve">faculty salary </w:t>
      </w:r>
      <w:r w:rsidR="00E57057" w:rsidRPr="001E3FB8">
        <w:rPr>
          <w:u w:val="single"/>
        </w:rPr>
        <w:t>rese</w:t>
      </w:r>
      <w:r w:rsidR="00461197" w:rsidRPr="001E3FB8">
        <w:rPr>
          <w:u w:val="single"/>
        </w:rPr>
        <w:t>a</w:t>
      </w:r>
      <w:r w:rsidR="00E57057" w:rsidRPr="001E3FB8">
        <w:rPr>
          <w:u w:val="single"/>
        </w:rPr>
        <w:t>rch workload</w:t>
      </w:r>
      <w:r w:rsidR="00E57057">
        <w:t xml:space="preserve">. The salary savings </w:t>
      </w:r>
      <w:r w:rsidR="00E472E7">
        <w:t>is</w:t>
      </w:r>
      <w:r w:rsidR="00E57057">
        <w:t xml:space="preserve"> distributed back to the </w:t>
      </w:r>
      <w:r w:rsidR="001E3FB8">
        <w:t>PI and</w:t>
      </w:r>
      <w:r w:rsidR="007C4D53">
        <w:t xml:space="preserve"> </w:t>
      </w:r>
      <w:r w:rsidR="00E57057">
        <w:t xml:space="preserve">central administration for research activities. </w:t>
      </w:r>
    </w:p>
    <w:p w14:paraId="7FCB5622" w14:textId="77777777" w:rsidR="00E57057" w:rsidRDefault="00E57057"/>
    <w:p w14:paraId="597613C5" w14:textId="7FDCF89E" w:rsidR="00FD7B17" w:rsidRPr="00B514EF" w:rsidRDefault="00FD7B17">
      <w:pPr>
        <w:rPr>
          <w:b/>
          <w:bCs/>
          <w:u w:val="single"/>
        </w:rPr>
      </w:pPr>
      <w:r w:rsidRPr="00B514EF">
        <w:rPr>
          <w:b/>
          <w:bCs/>
          <w:u w:val="single"/>
        </w:rPr>
        <w:t xml:space="preserve">Research Incentive </w:t>
      </w:r>
      <w:r w:rsidR="00CD6240">
        <w:rPr>
          <w:b/>
          <w:bCs/>
          <w:u w:val="single"/>
        </w:rPr>
        <w:t>Program</w:t>
      </w:r>
      <w:r w:rsidRPr="00B514EF">
        <w:rPr>
          <w:b/>
          <w:bCs/>
          <w:u w:val="single"/>
        </w:rPr>
        <w:t xml:space="preserve">: </w:t>
      </w:r>
    </w:p>
    <w:p w14:paraId="7C5CBFAB" w14:textId="21934206" w:rsidR="00CD6240" w:rsidRDefault="532EDDDD" w:rsidP="00CD6240">
      <w:pPr>
        <w:pStyle w:val="ListParagraph"/>
        <w:numPr>
          <w:ilvl w:val="0"/>
          <w:numId w:val="1"/>
        </w:numPr>
      </w:pPr>
      <w:r>
        <w:t xml:space="preserve">Individuals </w:t>
      </w:r>
      <w:r w:rsidR="00D76435">
        <w:t>eligible for</w:t>
      </w:r>
      <w:r w:rsidR="00CD6240">
        <w:t xml:space="preserve"> this program are</w:t>
      </w:r>
      <w:r w:rsidR="67F345F9">
        <w:t xml:space="preserve"> PI eligible faculty</w:t>
      </w:r>
      <w:r w:rsidR="00CD6240">
        <w:t xml:space="preserve"> </w:t>
      </w:r>
      <w:r w:rsidR="00D76435">
        <w:t>that serve</w:t>
      </w:r>
      <w:r w:rsidR="00CD6240">
        <w:t xml:space="preserve"> as</w:t>
      </w:r>
      <w:r w:rsidR="00B514EF">
        <w:t xml:space="preserve"> PI, </w:t>
      </w:r>
      <w:proofErr w:type="spellStart"/>
      <w:r w:rsidR="00B514EF">
        <w:t>CoPI</w:t>
      </w:r>
      <w:proofErr w:type="spellEnd"/>
      <w:r w:rsidR="00CD6240">
        <w:t>,</w:t>
      </w:r>
      <w:r w:rsidR="5FDD868D">
        <w:t xml:space="preserve"> or</w:t>
      </w:r>
      <w:r w:rsidR="00B514EF">
        <w:t xml:space="preserve"> senior personnel on the </w:t>
      </w:r>
      <w:r w:rsidR="00CD6240">
        <w:t xml:space="preserve">sponsored </w:t>
      </w:r>
      <w:r w:rsidR="00B514EF">
        <w:t>project.</w:t>
      </w:r>
      <w:r w:rsidR="00CD6240">
        <w:t xml:space="preserve"> </w:t>
      </w:r>
    </w:p>
    <w:p w14:paraId="3900AD55" w14:textId="1497B92F" w:rsidR="00CD6240" w:rsidRPr="001E3FB8" w:rsidRDefault="00F8130E" w:rsidP="001E3FB8">
      <w:pPr>
        <w:pStyle w:val="NormalWeb"/>
        <w:numPr>
          <w:ilvl w:val="0"/>
          <w:numId w:val="1"/>
        </w:numPr>
        <w:rPr>
          <w:rFonts w:asciiTheme="minorHAnsi" w:hAnsiTheme="minorHAnsi" w:cstheme="minorHAnsi"/>
        </w:rPr>
      </w:pPr>
      <w:r w:rsidRPr="001E3FB8">
        <w:rPr>
          <w:rStyle w:val="cf01"/>
          <w:rFonts w:asciiTheme="minorHAnsi" w:hAnsiTheme="minorHAnsi" w:cstheme="minorHAnsi"/>
          <w:sz w:val="24"/>
          <w:szCs w:val="24"/>
        </w:rPr>
        <w:t xml:space="preserve">Academic year time must be an allowable cost on the sponsored project funding the buyout. </w:t>
      </w:r>
      <w:r w:rsidR="00CD6240" w:rsidRPr="001E3FB8">
        <w:rPr>
          <w:rFonts w:asciiTheme="minorHAnsi" w:hAnsiTheme="minorHAnsi" w:cstheme="minorHAnsi"/>
        </w:rPr>
        <w:t xml:space="preserve">The sponsored project </w:t>
      </w:r>
      <w:r w:rsidRPr="001E3FB8">
        <w:rPr>
          <w:rFonts w:asciiTheme="minorHAnsi" w:hAnsiTheme="minorHAnsi" w:cstheme="minorHAnsi"/>
        </w:rPr>
        <w:t xml:space="preserve">proposal </w:t>
      </w:r>
      <w:r w:rsidR="00CD6240" w:rsidRPr="001E3FB8">
        <w:rPr>
          <w:rFonts w:asciiTheme="minorHAnsi" w:hAnsiTheme="minorHAnsi" w:cstheme="minorHAnsi"/>
        </w:rPr>
        <w:t xml:space="preserve">budget must include </w:t>
      </w:r>
      <w:r w:rsidR="1E6D0247" w:rsidRPr="001E3FB8">
        <w:rPr>
          <w:rFonts w:asciiTheme="minorHAnsi" w:hAnsiTheme="minorHAnsi" w:cstheme="minorHAnsi"/>
        </w:rPr>
        <w:t>an appropriate</w:t>
      </w:r>
      <w:r w:rsidR="00D6755E" w:rsidRPr="001E3FB8">
        <w:rPr>
          <w:rFonts w:asciiTheme="minorHAnsi" w:hAnsiTheme="minorHAnsi" w:cstheme="minorHAnsi"/>
        </w:rPr>
        <w:t xml:space="preserve"> </w:t>
      </w:r>
      <w:r w:rsidR="00CD6240" w:rsidRPr="001E3FB8">
        <w:rPr>
          <w:rFonts w:asciiTheme="minorHAnsi" w:hAnsiTheme="minorHAnsi" w:cstheme="minorHAnsi"/>
        </w:rPr>
        <w:t>faculty salary</w:t>
      </w:r>
      <w:r w:rsidR="006E7590" w:rsidRPr="001E3FB8">
        <w:rPr>
          <w:rFonts w:asciiTheme="minorHAnsi" w:hAnsiTheme="minorHAnsi" w:cstheme="minorHAnsi"/>
        </w:rPr>
        <w:t xml:space="preserve"> during the 9 academic months</w:t>
      </w:r>
      <w:r w:rsidR="00CD6240" w:rsidRPr="001E3FB8">
        <w:rPr>
          <w:rFonts w:asciiTheme="minorHAnsi" w:hAnsiTheme="minorHAnsi" w:cstheme="minorHAnsi"/>
        </w:rPr>
        <w:t>.</w:t>
      </w:r>
    </w:p>
    <w:p w14:paraId="7AC09BB8" w14:textId="3F72F00A" w:rsidR="00B514EF" w:rsidRDefault="00B514EF" w:rsidP="00B514EF">
      <w:pPr>
        <w:pStyle w:val="ListParagraph"/>
        <w:numPr>
          <w:ilvl w:val="0"/>
          <w:numId w:val="1"/>
        </w:numPr>
      </w:pPr>
      <w:r>
        <w:t xml:space="preserve">The </w:t>
      </w:r>
      <w:r w:rsidR="00CD6240">
        <w:t>sponsored project budget</w:t>
      </w:r>
      <w:r w:rsidR="009E699D">
        <w:t>(s)</w:t>
      </w:r>
      <w:r w:rsidR="00CD6240">
        <w:t xml:space="preserve"> </w:t>
      </w:r>
      <w:r>
        <w:t xml:space="preserve">must </w:t>
      </w:r>
      <w:r w:rsidR="006E7590">
        <w:t xml:space="preserve">also </w:t>
      </w:r>
      <w:r>
        <w:t xml:space="preserve">cover a minimum of 2 months summer salary for the </w:t>
      </w:r>
      <w:r w:rsidR="00CD6240">
        <w:t xml:space="preserve">requesting </w:t>
      </w:r>
      <w:r>
        <w:t>faculty member</w:t>
      </w:r>
      <w:r w:rsidR="00D6755E">
        <w:t xml:space="preserve"> during the year of research salary buy-out</w:t>
      </w:r>
      <w:r>
        <w:t>.</w:t>
      </w:r>
    </w:p>
    <w:p w14:paraId="763AEBFF" w14:textId="611CF3C6" w:rsidR="00CD6240" w:rsidRDefault="00CD6240" w:rsidP="007D0A52">
      <w:pPr>
        <w:pStyle w:val="ListParagraph"/>
        <w:numPr>
          <w:ilvl w:val="0"/>
          <w:numId w:val="1"/>
        </w:numPr>
      </w:pPr>
      <w:r>
        <w:t>This program is primarily for sponsored projects that have</w:t>
      </w:r>
      <w:r w:rsidR="00B514EF">
        <w:t xml:space="preserve"> </w:t>
      </w:r>
      <w:r w:rsidR="1D51B6A4">
        <w:t xml:space="preserve">an </w:t>
      </w:r>
      <w:r w:rsidR="00B514EF">
        <w:t xml:space="preserve">F&amp;A rate equal to the </w:t>
      </w:r>
      <w:r>
        <w:t xml:space="preserve">current </w:t>
      </w:r>
      <w:r w:rsidR="00D76435">
        <w:t>federally negotiated</w:t>
      </w:r>
      <w:r w:rsidR="00B514EF">
        <w:t xml:space="preserve"> rate for UNT</w:t>
      </w:r>
      <w:r w:rsidR="08ED23E3">
        <w:t xml:space="preserve"> or the F&amp;A allowed by the sponsor</w:t>
      </w:r>
      <w:r w:rsidR="00B514EF">
        <w:t>.</w:t>
      </w:r>
      <w:r w:rsidR="007D0A52">
        <w:t xml:space="preserve"> </w:t>
      </w:r>
    </w:p>
    <w:p w14:paraId="5555BA56" w14:textId="542CB822" w:rsidR="00D6755E" w:rsidRDefault="00D6755E" w:rsidP="00B514EF">
      <w:pPr>
        <w:pStyle w:val="ListParagraph"/>
        <w:numPr>
          <w:ilvl w:val="0"/>
          <w:numId w:val="1"/>
        </w:numPr>
      </w:pPr>
      <w:r>
        <w:t>Faculty can have more than one sponsored project that is utilized for this program.</w:t>
      </w:r>
    </w:p>
    <w:p w14:paraId="52A0D0DC" w14:textId="336C4BDA" w:rsidR="00D6755E" w:rsidRDefault="00D6755E" w:rsidP="00B514EF">
      <w:pPr>
        <w:pStyle w:val="ListParagraph"/>
        <w:numPr>
          <w:ilvl w:val="0"/>
          <w:numId w:val="1"/>
        </w:numPr>
      </w:pPr>
      <w:r>
        <w:t xml:space="preserve">This is not </w:t>
      </w:r>
      <w:r w:rsidR="20FAE70D">
        <w:t>a teaching</w:t>
      </w:r>
      <w:r>
        <w:t xml:space="preserve"> buyout which is covered by a separate process. </w:t>
      </w:r>
      <w:hyperlink r:id="rId10">
        <w:r w:rsidRPr="33E2F422">
          <w:rPr>
            <w:rStyle w:val="Hyperlink"/>
          </w:rPr>
          <w:t>https://vpaa.unt.edu/sites/default/files/documents/page/2019/faculty_course_buyout_procedures.pdf</w:t>
        </w:r>
      </w:hyperlink>
    </w:p>
    <w:p w14:paraId="719D24E9" w14:textId="77777777" w:rsidR="0017783F" w:rsidRDefault="0017783F" w:rsidP="00D6755E">
      <w:pPr>
        <w:pStyle w:val="ListParagraph"/>
        <w:ind w:left="360"/>
      </w:pPr>
    </w:p>
    <w:p w14:paraId="77D63FF8" w14:textId="76544A77" w:rsidR="002136A1" w:rsidRPr="0017783F" w:rsidRDefault="0017783F">
      <w:pPr>
        <w:rPr>
          <w:b/>
          <w:bCs/>
          <w:u w:val="single"/>
        </w:rPr>
      </w:pPr>
      <w:r w:rsidRPr="0017783F">
        <w:rPr>
          <w:b/>
          <w:bCs/>
          <w:u w:val="single"/>
        </w:rPr>
        <w:t>Salary Savings Distribution</w:t>
      </w:r>
      <w:r w:rsidR="001C3777">
        <w:rPr>
          <w:b/>
          <w:bCs/>
          <w:u w:val="single"/>
        </w:rPr>
        <w:t>, U</w:t>
      </w:r>
      <w:r w:rsidRPr="0017783F">
        <w:rPr>
          <w:b/>
          <w:bCs/>
          <w:u w:val="single"/>
        </w:rPr>
        <w:t>se</w:t>
      </w:r>
      <w:r w:rsidR="001C3777">
        <w:rPr>
          <w:b/>
          <w:bCs/>
          <w:u w:val="single"/>
        </w:rPr>
        <w:t xml:space="preserve"> and Process</w:t>
      </w:r>
      <w:r w:rsidRPr="0017783F">
        <w:rPr>
          <w:b/>
          <w:bCs/>
          <w:u w:val="single"/>
        </w:rPr>
        <w:t>:</w:t>
      </w:r>
    </w:p>
    <w:p w14:paraId="17CB2CB0" w14:textId="36E3F31B" w:rsidR="00461197" w:rsidRDefault="00461197" w:rsidP="0017783F">
      <w:pPr>
        <w:pStyle w:val="ListParagraph"/>
        <w:numPr>
          <w:ilvl w:val="0"/>
          <w:numId w:val="2"/>
        </w:numPr>
      </w:pPr>
      <w:r>
        <w:t xml:space="preserve">The salary savings will be distributed to meet the goals and objectives of this program. </w:t>
      </w:r>
    </w:p>
    <w:p w14:paraId="28138CF3" w14:textId="1F48C0D0" w:rsidR="0017783F" w:rsidRDefault="0017783F" w:rsidP="0017783F">
      <w:pPr>
        <w:pStyle w:val="ListParagraph"/>
        <w:numPr>
          <w:ilvl w:val="0"/>
          <w:numId w:val="2"/>
        </w:numPr>
      </w:pPr>
      <w:r>
        <w:t xml:space="preserve">Salary saved for a faculty </w:t>
      </w:r>
      <w:r w:rsidR="271D4C1A">
        <w:t>member's</w:t>
      </w:r>
      <w:r>
        <w:t xml:space="preserve"> research workload buy-out will be distributed as follows:</w:t>
      </w:r>
    </w:p>
    <w:p w14:paraId="488A21A7" w14:textId="76D387C3" w:rsidR="00B1624A" w:rsidRDefault="00B1624A" w:rsidP="00B1624A">
      <w:pPr>
        <w:pStyle w:val="paragraph"/>
        <w:numPr>
          <w:ilvl w:val="1"/>
          <w:numId w:val="2"/>
        </w:numPr>
        <w:spacing w:before="0" w:beforeAutospacing="0" w:after="0" w:afterAutospacing="0"/>
        <w:textAlignment w:val="baseline"/>
        <w:rPr>
          <w:rFonts w:ascii="Calibri" w:hAnsi="Calibri" w:cs="Calibri"/>
        </w:rPr>
      </w:pPr>
      <w:r>
        <w:rPr>
          <w:rStyle w:val="normaltextrun"/>
          <w:rFonts w:ascii="Calibri" w:hAnsi="Calibri" w:cs="Calibri"/>
        </w:rPr>
        <w:t>6</w:t>
      </w:r>
      <w:r w:rsidR="007C4D53">
        <w:rPr>
          <w:rStyle w:val="normaltextrun"/>
          <w:rFonts w:ascii="Calibri" w:hAnsi="Calibri" w:cs="Calibri"/>
        </w:rPr>
        <w:t>7</w:t>
      </w:r>
      <w:r>
        <w:rPr>
          <w:rStyle w:val="normaltextrun"/>
          <w:rFonts w:ascii="Calibri" w:hAnsi="Calibri" w:cs="Calibri"/>
        </w:rPr>
        <w:t>% to the PI</w:t>
      </w:r>
      <w:r>
        <w:rPr>
          <w:rStyle w:val="eop"/>
          <w:rFonts w:ascii="Calibri" w:hAnsi="Calibri" w:cs="Calibri"/>
        </w:rPr>
        <w:t> </w:t>
      </w:r>
    </w:p>
    <w:p w14:paraId="7639D09E" w14:textId="4EFF4AC1" w:rsidR="00B1624A" w:rsidRDefault="00B1624A" w:rsidP="00B1624A">
      <w:pPr>
        <w:pStyle w:val="paragraph"/>
        <w:numPr>
          <w:ilvl w:val="1"/>
          <w:numId w:val="2"/>
        </w:numPr>
        <w:spacing w:before="0" w:beforeAutospacing="0" w:after="0" w:afterAutospacing="0"/>
        <w:textAlignment w:val="baseline"/>
        <w:rPr>
          <w:rFonts w:ascii="Calibri" w:hAnsi="Calibri" w:cs="Calibri"/>
        </w:rPr>
      </w:pPr>
      <w:r>
        <w:rPr>
          <w:rStyle w:val="normaltextrun"/>
          <w:rFonts w:ascii="Calibri" w:hAnsi="Calibri" w:cs="Calibri"/>
        </w:rPr>
        <w:t>3</w:t>
      </w:r>
      <w:r w:rsidR="007C4D53">
        <w:rPr>
          <w:rStyle w:val="normaltextrun"/>
          <w:rFonts w:ascii="Calibri" w:hAnsi="Calibri" w:cs="Calibri"/>
        </w:rPr>
        <w:t>3</w:t>
      </w:r>
      <w:r>
        <w:rPr>
          <w:rStyle w:val="normaltextrun"/>
          <w:rFonts w:ascii="Calibri" w:hAnsi="Calibri" w:cs="Calibri"/>
        </w:rPr>
        <w:t xml:space="preserve">% </w:t>
      </w:r>
      <w:r w:rsidR="007C4D53">
        <w:rPr>
          <w:rStyle w:val="normaltextrun"/>
          <w:rFonts w:ascii="Calibri" w:hAnsi="Calibri" w:cs="Calibri"/>
        </w:rPr>
        <w:t>to</w:t>
      </w:r>
      <w:r>
        <w:rPr>
          <w:rStyle w:val="normaltextrun"/>
          <w:rFonts w:ascii="Calibri" w:hAnsi="Calibri" w:cs="Calibri"/>
        </w:rPr>
        <w:t xml:space="preserve"> central administration</w:t>
      </w:r>
      <w:r>
        <w:rPr>
          <w:rStyle w:val="eop"/>
          <w:rFonts w:ascii="Calibri" w:hAnsi="Calibri" w:cs="Calibri"/>
        </w:rPr>
        <w:t> </w:t>
      </w:r>
    </w:p>
    <w:p w14:paraId="36079273" w14:textId="237DCFF1" w:rsidR="001C3777" w:rsidRDefault="001C3777" w:rsidP="001C3777">
      <w:pPr>
        <w:pStyle w:val="ListParagraph"/>
        <w:numPr>
          <w:ilvl w:val="0"/>
          <w:numId w:val="2"/>
        </w:numPr>
      </w:pPr>
      <w:r>
        <w:t>Faculty member</w:t>
      </w:r>
      <w:r w:rsidR="1E7D81DD">
        <w:t>s</w:t>
      </w:r>
      <w:r>
        <w:t xml:space="preserve"> must request to participate in the research buyout program and get approval from the Department Chair, Dean, </w:t>
      </w:r>
      <w:r w:rsidR="02D763F7">
        <w:t>Provost and Division of Research and Innovation</w:t>
      </w:r>
      <w:r>
        <w:t>. Use th</w:t>
      </w:r>
      <w:r w:rsidR="55E0DBE9">
        <w:t xml:space="preserve">e </w:t>
      </w:r>
      <w:r>
        <w:t xml:space="preserve">form </w:t>
      </w:r>
      <w:r w:rsidR="001E3FB8">
        <w:t xml:space="preserve">at </w:t>
      </w:r>
      <w:hyperlink r:id="rId11" w:history="1">
        <w:r w:rsidR="001E3FB8" w:rsidRPr="001E3FB8">
          <w:rPr>
            <w:rStyle w:val="Hyperlink"/>
          </w:rPr>
          <w:t>https://vpaa.unt.edu/resources/forms</w:t>
        </w:r>
      </w:hyperlink>
      <w:r>
        <w:t>.</w:t>
      </w:r>
      <w:r w:rsidR="26B12003">
        <w:t xml:space="preserve"> </w:t>
      </w:r>
    </w:p>
    <w:p w14:paraId="314D26EA" w14:textId="18B57B6A" w:rsidR="001C3777" w:rsidRDefault="001C3777" w:rsidP="001C3777">
      <w:pPr>
        <w:pStyle w:val="ListParagraph"/>
        <w:numPr>
          <w:ilvl w:val="0"/>
          <w:numId w:val="2"/>
        </w:numPr>
      </w:pPr>
      <w:r>
        <w:lastRenderedPageBreak/>
        <w:t>The percentage of FTE of the research buyout must be proposed by the faculty member</w:t>
      </w:r>
      <w:r w:rsidR="006E7590">
        <w:t xml:space="preserve"> based on the grant(s) approved budget for salary and</w:t>
      </w:r>
      <w:r>
        <w:t xml:space="preserve"> cannot exceed the</w:t>
      </w:r>
      <w:r w:rsidR="00D6755E">
        <w:t>ir currently negotiated</w:t>
      </w:r>
      <w:r>
        <w:t xml:space="preserve"> research workload percentage. </w:t>
      </w:r>
    </w:p>
    <w:p w14:paraId="3E2ACF2B" w14:textId="0C18D419" w:rsidR="001C3777" w:rsidRDefault="001C3777" w:rsidP="001C3777">
      <w:pPr>
        <w:pStyle w:val="ListParagraph"/>
        <w:numPr>
          <w:ilvl w:val="0"/>
          <w:numId w:val="2"/>
        </w:numPr>
      </w:pPr>
      <w:r>
        <w:t>Returned</w:t>
      </w:r>
      <w:r w:rsidR="00D6755E">
        <w:t xml:space="preserve"> salary savings</w:t>
      </w:r>
      <w:r>
        <w:t xml:space="preserve"> funds will be placed in </w:t>
      </w:r>
      <w:r w:rsidR="006E7590">
        <w:t xml:space="preserve">a </w:t>
      </w:r>
      <w:r w:rsidR="001E3FB8">
        <w:t>chart string</w:t>
      </w:r>
      <w:r w:rsidR="00D6755E">
        <w:t xml:space="preserve"> for faculty</w:t>
      </w:r>
      <w:r>
        <w:t xml:space="preserve"> that is separate from other budgets and </w:t>
      </w:r>
      <w:r w:rsidR="00D6755E">
        <w:t xml:space="preserve">is </w:t>
      </w:r>
      <w:r>
        <w:t>not to be intermingled with sponsored project funds or IDC</w:t>
      </w:r>
      <w:r w:rsidR="006E7590">
        <w:t>/F&amp;A</w:t>
      </w:r>
      <w:r>
        <w:t>.</w:t>
      </w:r>
    </w:p>
    <w:p w14:paraId="44815957" w14:textId="11BD51BE" w:rsidR="001C3777" w:rsidRDefault="00D6755E" w:rsidP="001C3777">
      <w:pPr>
        <w:pStyle w:val="ListParagraph"/>
        <w:numPr>
          <w:ilvl w:val="0"/>
          <w:numId w:val="2"/>
        </w:numPr>
      </w:pPr>
      <w:r>
        <w:t>The re</w:t>
      </w:r>
      <w:r w:rsidR="001C3777">
        <w:t>turned</w:t>
      </w:r>
      <w:r>
        <w:t xml:space="preserve"> salary savings</w:t>
      </w:r>
      <w:r w:rsidR="001C3777">
        <w:t xml:space="preserve"> funds to the faculty member must be utilized by </w:t>
      </w:r>
      <w:r w:rsidR="00664BA6">
        <w:t>August 31</w:t>
      </w:r>
      <w:r w:rsidR="00664BA6" w:rsidRPr="001E3FB8">
        <w:rPr>
          <w:vertAlign w:val="superscript"/>
        </w:rPr>
        <w:t>st</w:t>
      </w:r>
      <w:r w:rsidR="00664BA6">
        <w:t xml:space="preserve"> of the fiscal year following the research buyout</w:t>
      </w:r>
      <w:r w:rsidR="001C3777">
        <w:t>.</w:t>
      </w:r>
      <w:r w:rsidR="00664BA6">
        <w:t xml:space="preserve"> Any unspent funds will be returned to central administration at the expiration date of the funds.</w:t>
      </w:r>
      <w:r w:rsidR="001C3777">
        <w:t xml:space="preserve"> </w:t>
      </w:r>
    </w:p>
    <w:p w14:paraId="36C6B354" w14:textId="568983ED" w:rsidR="0026576D" w:rsidRDefault="0026576D" w:rsidP="001C3777">
      <w:pPr>
        <w:pStyle w:val="ListParagraph"/>
        <w:numPr>
          <w:ilvl w:val="0"/>
          <w:numId w:val="2"/>
        </w:numPr>
      </w:pPr>
      <w:r>
        <w:t>The PI(s) can use these funds to support research activities. Typical use of funds includes student or postdoc support, research or conference travel, equipment and supplies, software licensing, access to research or computational facilities. Note that all equipment and supplies purchased are UNT property</w:t>
      </w:r>
      <w:r w:rsidR="00D6755E">
        <w:t>.</w:t>
      </w:r>
    </w:p>
    <w:p w14:paraId="4CB987B0" w14:textId="346065D0" w:rsidR="0035537F" w:rsidRDefault="19BDC13E" w:rsidP="33E2F422">
      <w:pPr>
        <w:pStyle w:val="ListParagraph"/>
        <w:numPr>
          <w:ilvl w:val="0"/>
          <w:numId w:val="2"/>
        </w:numPr>
      </w:pPr>
      <w:r>
        <w:t xml:space="preserve">PI acknowledges that </w:t>
      </w:r>
      <w:r w:rsidR="3FD0B123">
        <w:t>this may</w:t>
      </w:r>
      <w:r>
        <w:t xml:space="preserve"> take time to set up and that the Division of Research and Innovation</w:t>
      </w:r>
      <w:r w:rsidR="00A223F2">
        <w:t xml:space="preserve"> </w:t>
      </w:r>
      <w:r w:rsidR="00A223F2">
        <w:rPr>
          <w:rStyle w:val="ui-provider"/>
        </w:rPr>
        <w:t>will need to verify that salary costs are allowable by the sponsor. </w:t>
      </w:r>
    </w:p>
    <w:p w14:paraId="7496FE00" w14:textId="37FD2A70" w:rsidR="00D6755E" w:rsidRDefault="00D6755E" w:rsidP="001C3777">
      <w:pPr>
        <w:pStyle w:val="ListParagraph"/>
        <w:numPr>
          <w:ilvl w:val="0"/>
          <w:numId w:val="2"/>
        </w:numPr>
      </w:pPr>
      <w:r>
        <w:t xml:space="preserve">Final buyout amounts will be calculated by the </w:t>
      </w:r>
      <w:proofErr w:type="gramStart"/>
      <w:r>
        <w:t>Provost</w:t>
      </w:r>
      <w:proofErr w:type="gramEnd"/>
      <w:r>
        <w:t xml:space="preserve"> office based on </w:t>
      </w:r>
      <w:r w:rsidR="006E7590">
        <w:t>FTE and available funds</w:t>
      </w:r>
      <w:r>
        <w:t>.</w:t>
      </w:r>
    </w:p>
    <w:p w14:paraId="369BFA3F" w14:textId="093C268E" w:rsidR="000D030A" w:rsidRDefault="000D030A" w:rsidP="00461197"/>
    <w:p w14:paraId="61F6CB07" w14:textId="77777777" w:rsidR="006E7590" w:rsidRDefault="006E7590" w:rsidP="006E7590">
      <w:pPr>
        <w:rPr>
          <w:rFonts w:eastAsiaTheme="minorEastAsia"/>
        </w:rPr>
      </w:pPr>
      <w:r>
        <w:rPr>
          <w:rFonts w:eastAsiaTheme="minorEastAsia"/>
        </w:rPr>
        <w:t>Additional information may be found in the following locations:</w:t>
      </w:r>
    </w:p>
    <w:p w14:paraId="53D7A741" w14:textId="77777777" w:rsidR="006E7590" w:rsidRDefault="006E7590" w:rsidP="006E7590">
      <w:pPr>
        <w:rPr>
          <w:rStyle w:val="Hyperlink"/>
        </w:rPr>
      </w:pPr>
      <w:r>
        <w:t xml:space="preserve">Faculty Teaching and Research Buyout Form: </w:t>
      </w:r>
      <w:hyperlink r:id="rId12" w:history="1">
        <w:r w:rsidRPr="00724F94">
          <w:rPr>
            <w:rStyle w:val="Hyperlink"/>
          </w:rPr>
          <w:t>https://vpaa.unt.edu/file/16735</w:t>
        </w:r>
      </w:hyperlink>
    </w:p>
    <w:p w14:paraId="13384F0B" w14:textId="77777777" w:rsidR="006E7590" w:rsidRPr="002C6285" w:rsidRDefault="006E7590" w:rsidP="006E7590">
      <w:r w:rsidRPr="002C6285">
        <w:rPr>
          <w:rStyle w:val="Hyperlink"/>
          <w:color w:val="auto"/>
          <w:u w:val="none"/>
        </w:rPr>
        <w:t xml:space="preserve">Faculty Course Buyout Procedures: </w:t>
      </w:r>
      <w:hyperlink r:id="rId13" w:history="1">
        <w:r w:rsidRPr="002C6285">
          <w:rPr>
            <w:rStyle w:val="Hyperlink"/>
          </w:rPr>
          <w:t>https://vpaa.unt.edu/sites/default/files/documents/faculty_course_buyout_procedures_12.22.pdf</w:t>
        </w:r>
      </w:hyperlink>
    </w:p>
    <w:sectPr w:rsidR="006E7590" w:rsidRPr="002C6285" w:rsidSect="001E3FB8">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DADBC" w14:textId="77777777" w:rsidR="00A00BAB" w:rsidRDefault="00A00BAB" w:rsidP="000D030A">
      <w:r>
        <w:separator/>
      </w:r>
    </w:p>
  </w:endnote>
  <w:endnote w:type="continuationSeparator" w:id="0">
    <w:p w14:paraId="2E654B5F" w14:textId="77777777" w:rsidR="00A00BAB" w:rsidRDefault="00A00BAB" w:rsidP="000D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516654"/>
      <w:docPartObj>
        <w:docPartGallery w:val="Page Numbers (Bottom of Page)"/>
        <w:docPartUnique/>
      </w:docPartObj>
    </w:sdtPr>
    <w:sdtEndPr>
      <w:rPr>
        <w:noProof/>
      </w:rPr>
    </w:sdtEndPr>
    <w:sdtContent>
      <w:p w14:paraId="503A9E61" w14:textId="2528605C" w:rsidR="001E3FB8" w:rsidRDefault="001E3FB8">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B6CC5FE" w14:textId="77777777" w:rsidR="001E3FB8" w:rsidRDefault="001E3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65BC" w14:textId="2539E7B8" w:rsidR="001E3FB8" w:rsidRDefault="001E3FB8">
    <w:pPr>
      <w:pStyle w:val="Footer"/>
    </w:pPr>
    <w:r>
      <w:t xml:space="preserve">Rev. </w:t>
    </w:r>
    <w:r w:rsidR="007A3CD5">
      <w:t>3.22.24</w:t>
    </w:r>
  </w:p>
  <w:p w14:paraId="49A895CA" w14:textId="77777777" w:rsidR="001E3FB8" w:rsidRDefault="001E3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52364" w14:textId="77777777" w:rsidR="00A00BAB" w:rsidRDefault="00A00BAB" w:rsidP="000D030A">
      <w:r>
        <w:separator/>
      </w:r>
    </w:p>
  </w:footnote>
  <w:footnote w:type="continuationSeparator" w:id="0">
    <w:p w14:paraId="4F664135" w14:textId="77777777" w:rsidR="00A00BAB" w:rsidRDefault="00A00BAB" w:rsidP="000D0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224E" w14:textId="5A0CF53F" w:rsidR="000D030A" w:rsidRDefault="001E3FB8">
    <w:pPr>
      <w:pStyle w:val="Header"/>
    </w:pPr>
    <w:r>
      <w:rPr>
        <w:noProof/>
      </w:rPr>
      <w:drawing>
        <wp:anchor distT="0" distB="0" distL="114300" distR="114300" simplePos="0" relativeHeight="251659264" behindDoc="1" locked="0" layoutInCell="1" allowOverlap="1" wp14:anchorId="4164B479" wp14:editId="3E295C0F">
          <wp:simplePos x="0" y="0"/>
          <wp:positionH relativeFrom="page">
            <wp:align>right</wp:align>
          </wp:positionH>
          <wp:positionV relativeFrom="page">
            <wp:align>top</wp:align>
          </wp:positionV>
          <wp:extent cx="7772400" cy="1143000"/>
          <wp:effectExtent l="0" t="0" r="0" b="0"/>
          <wp:wrapTight wrapText="bothSides">
            <wp:wrapPolygon edited="0">
              <wp:start x="0" y="0"/>
              <wp:lineTo x="0" y="21240"/>
              <wp:lineTo x="21547" y="21240"/>
              <wp:lineTo x="215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PAA_2020_UNTLTHD_Eagle_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1430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A43"/>
    <w:multiLevelType w:val="hybridMultilevel"/>
    <w:tmpl w:val="A81263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4E74F2D"/>
    <w:multiLevelType w:val="multilevel"/>
    <w:tmpl w:val="6D6053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6E771709"/>
    <w:multiLevelType w:val="multilevel"/>
    <w:tmpl w:val="B9D241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79226C38"/>
    <w:multiLevelType w:val="hybridMultilevel"/>
    <w:tmpl w:val="37DEB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7890683">
    <w:abstractNumId w:val="0"/>
  </w:num>
  <w:num w:numId="2" w16cid:durableId="449588352">
    <w:abstractNumId w:val="3"/>
  </w:num>
  <w:num w:numId="3" w16cid:durableId="1585798978">
    <w:abstractNumId w:val="2"/>
  </w:num>
  <w:num w:numId="4" w16cid:durableId="761922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30A"/>
    <w:rsid w:val="000D030A"/>
    <w:rsid w:val="0017783F"/>
    <w:rsid w:val="001C3777"/>
    <w:rsid w:val="001E3FB8"/>
    <w:rsid w:val="002136A1"/>
    <w:rsid w:val="00213EC6"/>
    <w:rsid w:val="0026576D"/>
    <w:rsid w:val="0035537F"/>
    <w:rsid w:val="00396AD6"/>
    <w:rsid w:val="003B24E0"/>
    <w:rsid w:val="003F28E6"/>
    <w:rsid w:val="00457029"/>
    <w:rsid w:val="00461197"/>
    <w:rsid w:val="005040FF"/>
    <w:rsid w:val="005A0032"/>
    <w:rsid w:val="005B3710"/>
    <w:rsid w:val="006154BE"/>
    <w:rsid w:val="00664BA6"/>
    <w:rsid w:val="006B3DE2"/>
    <w:rsid w:val="006E7590"/>
    <w:rsid w:val="006F7246"/>
    <w:rsid w:val="007A3CD5"/>
    <w:rsid w:val="007C4D53"/>
    <w:rsid w:val="007D0A52"/>
    <w:rsid w:val="007E5013"/>
    <w:rsid w:val="007F3B0E"/>
    <w:rsid w:val="00979DD1"/>
    <w:rsid w:val="009D5D8E"/>
    <w:rsid w:val="009E699D"/>
    <w:rsid w:val="00A00BAB"/>
    <w:rsid w:val="00A223F2"/>
    <w:rsid w:val="00A66E4E"/>
    <w:rsid w:val="00B1624A"/>
    <w:rsid w:val="00B3769B"/>
    <w:rsid w:val="00B431E1"/>
    <w:rsid w:val="00B514EF"/>
    <w:rsid w:val="00BD3C92"/>
    <w:rsid w:val="00BE6696"/>
    <w:rsid w:val="00C126E0"/>
    <w:rsid w:val="00C46CF9"/>
    <w:rsid w:val="00CD6240"/>
    <w:rsid w:val="00CF062E"/>
    <w:rsid w:val="00D6755E"/>
    <w:rsid w:val="00D7197E"/>
    <w:rsid w:val="00D76435"/>
    <w:rsid w:val="00DF6308"/>
    <w:rsid w:val="00E472E7"/>
    <w:rsid w:val="00E57057"/>
    <w:rsid w:val="00EB087F"/>
    <w:rsid w:val="00F8130E"/>
    <w:rsid w:val="00F87221"/>
    <w:rsid w:val="00FD7B17"/>
    <w:rsid w:val="017E5986"/>
    <w:rsid w:val="02D763F7"/>
    <w:rsid w:val="03CFB9B2"/>
    <w:rsid w:val="05C44DCA"/>
    <w:rsid w:val="080F641A"/>
    <w:rsid w:val="08ED23E3"/>
    <w:rsid w:val="0B2901DE"/>
    <w:rsid w:val="0B6A4F19"/>
    <w:rsid w:val="0CFBB585"/>
    <w:rsid w:val="0E9785E6"/>
    <w:rsid w:val="10335647"/>
    <w:rsid w:val="119DBA55"/>
    <w:rsid w:val="1305E84C"/>
    <w:rsid w:val="157FDF18"/>
    <w:rsid w:val="177E2F7B"/>
    <w:rsid w:val="195F9DF5"/>
    <w:rsid w:val="19BDC13E"/>
    <w:rsid w:val="1D2D0482"/>
    <w:rsid w:val="1D51B6A4"/>
    <w:rsid w:val="1E6D0247"/>
    <w:rsid w:val="1E7D81DD"/>
    <w:rsid w:val="20FAE70D"/>
    <w:rsid w:val="245BB569"/>
    <w:rsid w:val="26B12003"/>
    <w:rsid w:val="26E47BAD"/>
    <w:rsid w:val="271D4C1A"/>
    <w:rsid w:val="27DB0AA5"/>
    <w:rsid w:val="2B6C1E62"/>
    <w:rsid w:val="2CDFDEFC"/>
    <w:rsid w:val="2E458845"/>
    <w:rsid w:val="31D2B4C6"/>
    <w:rsid w:val="3215D021"/>
    <w:rsid w:val="33E2F422"/>
    <w:rsid w:val="345F92BF"/>
    <w:rsid w:val="36E94144"/>
    <w:rsid w:val="39095C96"/>
    <w:rsid w:val="3F6F409B"/>
    <w:rsid w:val="3FD0B123"/>
    <w:rsid w:val="425F4A61"/>
    <w:rsid w:val="46E40F5C"/>
    <w:rsid w:val="4C10427F"/>
    <w:rsid w:val="4CF138C6"/>
    <w:rsid w:val="4FB974CD"/>
    <w:rsid w:val="532CC101"/>
    <w:rsid w:val="532EDDDD"/>
    <w:rsid w:val="55AC459F"/>
    <w:rsid w:val="55E0DBE9"/>
    <w:rsid w:val="56C4E99C"/>
    <w:rsid w:val="58B2E16C"/>
    <w:rsid w:val="5B18DC0C"/>
    <w:rsid w:val="5FDD868D"/>
    <w:rsid w:val="6173567E"/>
    <w:rsid w:val="64423DD4"/>
    <w:rsid w:val="6745116D"/>
    <w:rsid w:val="67F345F9"/>
    <w:rsid w:val="68B06297"/>
    <w:rsid w:val="6CB306AD"/>
    <w:rsid w:val="73D10355"/>
    <w:rsid w:val="73F4F541"/>
    <w:rsid w:val="7700A2BB"/>
    <w:rsid w:val="78D35662"/>
    <w:rsid w:val="7AE365CD"/>
    <w:rsid w:val="7BF8B213"/>
    <w:rsid w:val="7C0AF724"/>
    <w:rsid w:val="7DB93BE4"/>
    <w:rsid w:val="7E63A732"/>
    <w:rsid w:val="7FBBA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978AD"/>
  <w15:chartTrackingRefBased/>
  <w15:docId w15:val="{BBBAE9AA-1CA7-1245-9177-FA507807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30A"/>
    <w:pPr>
      <w:tabs>
        <w:tab w:val="center" w:pos="4680"/>
        <w:tab w:val="right" w:pos="9360"/>
      </w:tabs>
    </w:pPr>
  </w:style>
  <w:style w:type="character" w:customStyle="1" w:styleId="HeaderChar">
    <w:name w:val="Header Char"/>
    <w:basedOn w:val="DefaultParagraphFont"/>
    <w:link w:val="Header"/>
    <w:uiPriority w:val="99"/>
    <w:rsid w:val="000D030A"/>
  </w:style>
  <w:style w:type="paragraph" w:styleId="Footer">
    <w:name w:val="footer"/>
    <w:basedOn w:val="Normal"/>
    <w:link w:val="FooterChar"/>
    <w:uiPriority w:val="99"/>
    <w:unhideWhenUsed/>
    <w:rsid w:val="000D030A"/>
    <w:pPr>
      <w:tabs>
        <w:tab w:val="center" w:pos="4680"/>
        <w:tab w:val="right" w:pos="9360"/>
      </w:tabs>
    </w:pPr>
  </w:style>
  <w:style w:type="character" w:customStyle="1" w:styleId="FooterChar">
    <w:name w:val="Footer Char"/>
    <w:basedOn w:val="DefaultParagraphFont"/>
    <w:link w:val="Footer"/>
    <w:uiPriority w:val="99"/>
    <w:rsid w:val="000D030A"/>
  </w:style>
  <w:style w:type="paragraph" w:styleId="ListParagraph">
    <w:name w:val="List Paragraph"/>
    <w:basedOn w:val="Normal"/>
    <w:uiPriority w:val="34"/>
    <w:qFormat/>
    <w:rsid w:val="00B514EF"/>
    <w:pPr>
      <w:ind w:left="720"/>
      <w:contextualSpacing/>
    </w:pPr>
  </w:style>
  <w:style w:type="character" w:styleId="CommentReference">
    <w:name w:val="annotation reference"/>
    <w:basedOn w:val="DefaultParagraphFont"/>
    <w:uiPriority w:val="99"/>
    <w:semiHidden/>
    <w:unhideWhenUsed/>
    <w:rsid w:val="00D6755E"/>
    <w:rPr>
      <w:sz w:val="16"/>
      <w:szCs w:val="16"/>
    </w:rPr>
  </w:style>
  <w:style w:type="paragraph" w:styleId="CommentText">
    <w:name w:val="annotation text"/>
    <w:basedOn w:val="Normal"/>
    <w:link w:val="CommentTextChar"/>
    <w:uiPriority w:val="99"/>
    <w:unhideWhenUsed/>
    <w:rsid w:val="00D6755E"/>
    <w:rPr>
      <w:sz w:val="20"/>
      <w:szCs w:val="20"/>
    </w:rPr>
  </w:style>
  <w:style w:type="character" w:customStyle="1" w:styleId="CommentTextChar">
    <w:name w:val="Comment Text Char"/>
    <w:basedOn w:val="DefaultParagraphFont"/>
    <w:link w:val="CommentText"/>
    <w:uiPriority w:val="99"/>
    <w:rsid w:val="00D6755E"/>
    <w:rPr>
      <w:sz w:val="20"/>
      <w:szCs w:val="20"/>
    </w:rPr>
  </w:style>
  <w:style w:type="paragraph" w:styleId="CommentSubject">
    <w:name w:val="annotation subject"/>
    <w:basedOn w:val="CommentText"/>
    <w:next w:val="CommentText"/>
    <w:link w:val="CommentSubjectChar"/>
    <w:uiPriority w:val="99"/>
    <w:semiHidden/>
    <w:unhideWhenUsed/>
    <w:rsid w:val="00D6755E"/>
    <w:rPr>
      <w:b/>
      <w:bCs/>
    </w:rPr>
  </w:style>
  <w:style w:type="character" w:customStyle="1" w:styleId="CommentSubjectChar">
    <w:name w:val="Comment Subject Char"/>
    <w:basedOn w:val="CommentTextChar"/>
    <w:link w:val="CommentSubject"/>
    <w:uiPriority w:val="99"/>
    <w:semiHidden/>
    <w:rsid w:val="00D6755E"/>
    <w:rPr>
      <w:b/>
      <w:bCs/>
      <w:sz w:val="20"/>
      <w:szCs w:val="20"/>
    </w:rPr>
  </w:style>
  <w:style w:type="character" w:styleId="Hyperlink">
    <w:name w:val="Hyperlink"/>
    <w:basedOn w:val="DefaultParagraphFont"/>
    <w:uiPriority w:val="99"/>
    <w:unhideWhenUsed/>
    <w:rsid w:val="00D6755E"/>
    <w:rPr>
      <w:color w:val="0563C1" w:themeColor="hyperlink"/>
      <w:u w:val="single"/>
    </w:rPr>
  </w:style>
  <w:style w:type="character" w:styleId="UnresolvedMention">
    <w:name w:val="Unresolved Mention"/>
    <w:basedOn w:val="DefaultParagraphFont"/>
    <w:uiPriority w:val="99"/>
    <w:semiHidden/>
    <w:unhideWhenUsed/>
    <w:rsid w:val="00D6755E"/>
    <w:rPr>
      <w:color w:val="605E5C"/>
      <w:shd w:val="clear" w:color="auto" w:fill="E1DFDD"/>
    </w:rPr>
  </w:style>
  <w:style w:type="character" w:styleId="FollowedHyperlink">
    <w:name w:val="FollowedHyperlink"/>
    <w:basedOn w:val="DefaultParagraphFont"/>
    <w:uiPriority w:val="99"/>
    <w:semiHidden/>
    <w:unhideWhenUsed/>
    <w:rsid w:val="007F3B0E"/>
    <w:rPr>
      <w:color w:val="954F72" w:themeColor="followedHyperlink"/>
      <w:u w:val="single"/>
    </w:rPr>
  </w:style>
  <w:style w:type="paragraph" w:customStyle="1" w:styleId="paragraph">
    <w:name w:val="paragraph"/>
    <w:basedOn w:val="Normal"/>
    <w:rsid w:val="00B1624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1624A"/>
  </w:style>
  <w:style w:type="character" w:customStyle="1" w:styleId="eop">
    <w:name w:val="eop"/>
    <w:basedOn w:val="DefaultParagraphFont"/>
    <w:rsid w:val="00B1624A"/>
  </w:style>
  <w:style w:type="paragraph" w:styleId="Revision">
    <w:name w:val="Revision"/>
    <w:hidden/>
    <w:uiPriority w:val="99"/>
    <w:semiHidden/>
    <w:rsid w:val="007C4D53"/>
  </w:style>
  <w:style w:type="character" w:customStyle="1" w:styleId="ui-provider">
    <w:name w:val="ui-provider"/>
    <w:basedOn w:val="DefaultParagraphFont"/>
    <w:rsid w:val="00A223F2"/>
  </w:style>
  <w:style w:type="paragraph" w:styleId="NormalWeb">
    <w:name w:val="Normal (Web)"/>
    <w:basedOn w:val="Normal"/>
    <w:uiPriority w:val="99"/>
    <w:unhideWhenUsed/>
    <w:rsid w:val="00F8130E"/>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F8130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01760">
      <w:bodyDiv w:val="1"/>
      <w:marLeft w:val="0"/>
      <w:marRight w:val="0"/>
      <w:marTop w:val="0"/>
      <w:marBottom w:val="0"/>
      <w:divBdr>
        <w:top w:val="none" w:sz="0" w:space="0" w:color="auto"/>
        <w:left w:val="none" w:sz="0" w:space="0" w:color="auto"/>
        <w:bottom w:val="none" w:sz="0" w:space="0" w:color="auto"/>
        <w:right w:val="none" w:sz="0" w:space="0" w:color="auto"/>
      </w:divBdr>
    </w:div>
    <w:div w:id="206872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paa.unt.edu/sites/default/files/documents/faculty_course_buyout_procedures_12.2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paa.unt.edu/file/1673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paa.unt.edu/resources/form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vpaa.unt.edu/sites/default/files/documents/page/2019/faculty_course_buyout_procedur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52ff81a-b7db-453b-aae4-a8d7a30499d1" xsi:nil="true"/>
    <lcf76f155ced4ddcb4097134ff3c332f xmlns="572d727c-6403-488c-a7c9-2531fc33f1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10AD14566FEA409189C8C6CE91EE17" ma:contentTypeVersion="16" ma:contentTypeDescription="Create a new document." ma:contentTypeScope="" ma:versionID="955ce766a991988eaefe0276cc26f0bf">
  <xsd:schema xmlns:xsd="http://www.w3.org/2001/XMLSchema" xmlns:xs="http://www.w3.org/2001/XMLSchema" xmlns:p="http://schemas.microsoft.com/office/2006/metadata/properties" xmlns:ns2="572d727c-6403-488c-a7c9-2531fc33f12e" xmlns:ns3="d52ff81a-b7db-453b-aae4-a8d7a30499d1" targetNamespace="http://schemas.microsoft.com/office/2006/metadata/properties" ma:root="true" ma:fieldsID="ba7a6d21ddf9376d3b0cda4f95a14568" ns2:_="" ns3:_="">
    <xsd:import namespace="572d727c-6403-488c-a7c9-2531fc33f12e"/>
    <xsd:import namespace="d52ff81a-b7db-453b-aae4-a8d7a30499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d727c-6403-488c-a7c9-2531fc33f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hidden="true" ma:internalName="MediaServiceLocation"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2ff81a-b7db-453b-aae4-a8d7a30499d1"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ae64c2a6-33b2-4687-8d7a-27f4d7d9f58c}" ma:internalName="TaxCatchAll" ma:showField="CatchAllData" ma:web="d52ff81a-b7db-453b-aae4-a8d7a30499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0BB65-EF8C-4969-9648-933D2DD0085D}">
  <ds:schemaRefs>
    <ds:schemaRef ds:uri="http://schemas.microsoft.com/sharepoint/v3/contenttype/forms"/>
  </ds:schemaRefs>
</ds:datastoreItem>
</file>

<file path=customXml/itemProps2.xml><?xml version="1.0" encoding="utf-8"?>
<ds:datastoreItem xmlns:ds="http://schemas.openxmlformats.org/officeDocument/2006/customXml" ds:itemID="{E4444020-295E-44F6-92A2-4BDA0BCAFA0F}">
  <ds:schemaRefs>
    <ds:schemaRef ds:uri="http://schemas.microsoft.com/office/2006/metadata/properties"/>
    <ds:schemaRef ds:uri="http://schemas.microsoft.com/office/infopath/2007/PartnerControls"/>
    <ds:schemaRef ds:uri="d52ff81a-b7db-453b-aae4-a8d7a30499d1"/>
    <ds:schemaRef ds:uri="572d727c-6403-488c-a7c9-2531fc33f12e"/>
  </ds:schemaRefs>
</ds:datastoreItem>
</file>

<file path=customXml/itemProps3.xml><?xml version="1.0" encoding="utf-8"?>
<ds:datastoreItem xmlns:ds="http://schemas.openxmlformats.org/officeDocument/2006/customXml" ds:itemID="{C11BF59D-086F-43A5-91A1-E6B8C59CE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d727c-6403-488c-a7c9-2531fc33f12e"/>
    <ds:schemaRef ds:uri="d52ff81a-b7db-453b-aae4-a8d7a3049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3264</Characters>
  <Application>Microsoft Office Word</Application>
  <DocSecurity>0</DocSecurity>
  <Lines>63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Pamela</dc:creator>
  <cp:keywords/>
  <dc:description/>
  <cp:lastModifiedBy>Everett, Brandi</cp:lastModifiedBy>
  <cp:revision>3</cp:revision>
  <cp:lastPrinted>2022-12-20T20:56:00Z</cp:lastPrinted>
  <dcterms:created xsi:type="dcterms:W3CDTF">2024-06-26T19:26:00Z</dcterms:created>
  <dcterms:modified xsi:type="dcterms:W3CDTF">2024-06-26T19:26:00Z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0x010100A410AD14566FEA409189C8C6CE91EE17</vt:lpwstr>
  </property>
  <property fmtid="{D5CDD505-2E9C-101B-9397-08002B2CF9AE}" pid="3" name="MediaServiceImageTags">
    <vt:lpwstr/>
  </property>
  <property fmtid="{D5CDD505-2E9C-101B-9397-08002B2CF9AE}" pid="4" name="GrammarlyDocumentId">
    <vt:lpwstr>cf6611b483d7b0b5b11d1d94d5a88d8b2cacbecdb7026e87ecf75c9fabf33f10</vt:lpwstr>
  </property>
</Properties>
</file>