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98" w:rsidRDefault="00637D98" w:rsidP="00CF30DA">
      <w:pPr>
        <w:jc w:val="center"/>
      </w:pPr>
    </w:p>
    <w:p w:rsidR="00CF30DA" w:rsidRDefault="00CF30DA" w:rsidP="00CF30DA">
      <w:pPr>
        <w:jc w:val="center"/>
      </w:pPr>
      <w:r>
        <w:t>BUDGET PROCEDURES MANUAL</w:t>
      </w:r>
    </w:p>
    <w:p w:rsidR="00CF30DA" w:rsidRDefault="00CF30DA" w:rsidP="00CF30DA">
      <w:pPr>
        <w:jc w:val="center"/>
      </w:pPr>
      <w:r>
        <w:t>OFFICE OF THE PROVOST AND VICE PRESIDENT FOR ACADEMIC AFFAIRS</w:t>
      </w:r>
    </w:p>
    <w:p w:rsidR="00CF30DA" w:rsidRPr="000A2654" w:rsidRDefault="00CF30DA" w:rsidP="00CF30DA">
      <w:pPr>
        <w:rPr>
          <w:sz w:val="21"/>
          <w:szCs w:val="21"/>
        </w:rPr>
      </w:pPr>
      <w:r w:rsidRPr="000A2654">
        <w:rPr>
          <w:sz w:val="21"/>
          <w:szCs w:val="21"/>
        </w:rPr>
        <w:t>SECTION 1:</w:t>
      </w:r>
      <w:r w:rsidRPr="000A2654">
        <w:rPr>
          <w:sz w:val="21"/>
          <w:szCs w:val="21"/>
        </w:rPr>
        <w:tab/>
        <w:t>Introduction</w:t>
      </w:r>
    </w:p>
    <w:p w:rsidR="00CF30DA" w:rsidRPr="000A2654" w:rsidRDefault="00CF30DA" w:rsidP="00CF30DA">
      <w:pPr>
        <w:rPr>
          <w:sz w:val="21"/>
          <w:szCs w:val="21"/>
        </w:rPr>
      </w:pPr>
      <w:r w:rsidRPr="000A2654">
        <w:rPr>
          <w:sz w:val="21"/>
          <w:szCs w:val="21"/>
        </w:rPr>
        <w:t xml:space="preserve">SECTION 2: </w:t>
      </w:r>
      <w:r w:rsidRPr="000A2654">
        <w:rPr>
          <w:sz w:val="21"/>
          <w:szCs w:val="21"/>
        </w:rPr>
        <w:tab/>
        <w:t>Centralized Faculty Support</w:t>
      </w:r>
    </w:p>
    <w:p w:rsidR="00CF30DA" w:rsidRPr="000A2654" w:rsidRDefault="00CF30DA" w:rsidP="00CF30DA">
      <w:pPr>
        <w:rPr>
          <w:sz w:val="21"/>
          <w:szCs w:val="21"/>
        </w:rPr>
      </w:pPr>
      <w:r w:rsidRPr="000A2654">
        <w:rPr>
          <w:sz w:val="21"/>
          <w:szCs w:val="21"/>
        </w:rPr>
        <w:tab/>
      </w:r>
      <w:r w:rsidRPr="000A2654">
        <w:rPr>
          <w:sz w:val="21"/>
          <w:szCs w:val="21"/>
        </w:rPr>
        <w:tab/>
        <w:t xml:space="preserve">2.1 </w:t>
      </w:r>
      <w:r w:rsidRPr="000A2654">
        <w:rPr>
          <w:sz w:val="21"/>
          <w:szCs w:val="21"/>
        </w:rPr>
        <w:tab/>
        <w:t>Frisco Campus</w:t>
      </w:r>
    </w:p>
    <w:p w:rsidR="00CF30DA" w:rsidRPr="000A2654" w:rsidRDefault="00CF30DA" w:rsidP="00CF30DA">
      <w:pPr>
        <w:rPr>
          <w:sz w:val="21"/>
          <w:szCs w:val="21"/>
        </w:rPr>
      </w:pPr>
      <w:r w:rsidRPr="000A2654">
        <w:rPr>
          <w:sz w:val="21"/>
          <w:szCs w:val="21"/>
        </w:rPr>
        <w:tab/>
      </w:r>
      <w:r w:rsidRPr="000A2654">
        <w:rPr>
          <w:sz w:val="21"/>
          <w:szCs w:val="21"/>
        </w:rPr>
        <w:tab/>
        <w:t xml:space="preserve">2.2 </w:t>
      </w:r>
      <w:r w:rsidRPr="000A2654">
        <w:rPr>
          <w:sz w:val="21"/>
          <w:szCs w:val="21"/>
        </w:rPr>
        <w:tab/>
        <w:t>Junior Faculty Summer Support</w:t>
      </w:r>
    </w:p>
    <w:p w:rsidR="00CF30DA" w:rsidRPr="000A2654" w:rsidRDefault="00CF30DA" w:rsidP="00CF30DA">
      <w:pPr>
        <w:rPr>
          <w:sz w:val="21"/>
          <w:szCs w:val="21"/>
        </w:rPr>
      </w:pPr>
      <w:r w:rsidRPr="000A2654">
        <w:rPr>
          <w:sz w:val="21"/>
          <w:szCs w:val="21"/>
        </w:rPr>
        <w:tab/>
      </w:r>
      <w:r w:rsidRPr="000A2654">
        <w:rPr>
          <w:sz w:val="21"/>
          <w:szCs w:val="21"/>
        </w:rPr>
        <w:tab/>
        <w:t xml:space="preserve">2.3 </w:t>
      </w:r>
      <w:r w:rsidRPr="000A2654">
        <w:rPr>
          <w:sz w:val="21"/>
          <w:szCs w:val="21"/>
        </w:rPr>
        <w:tab/>
        <w:t xml:space="preserve">Study Abroad </w:t>
      </w:r>
    </w:p>
    <w:p w:rsidR="00CF30DA" w:rsidRPr="000A2654" w:rsidRDefault="00CF30DA" w:rsidP="00CF30DA">
      <w:pPr>
        <w:rPr>
          <w:sz w:val="21"/>
          <w:szCs w:val="21"/>
        </w:rPr>
      </w:pPr>
      <w:r w:rsidRPr="000A2654">
        <w:rPr>
          <w:sz w:val="21"/>
          <w:szCs w:val="21"/>
        </w:rPr>
        <w:tab/>
      </w:r>
      <w:r w:rsidRPr="000A2654">
        <w:rPr>
          <w:sz w:val="21"/>
          <w:szCs w:val="21"/>
        </w:rPr>
        <w:tab/>
        <w:t xml:space="preserve">2.4 </w:t>
      </w:r>
      <w:r w:rsidRPr="000A2654">
        <w:rPr>
          <w:sz w:val="21"/>
          <w:szCs w:val="21"/>
        </w:rPr>
        <w:tab/>
        <w:t>Funding Models Related to Online Education</w:t>
      </w:r>
    </w:p>
    <w:p w:rsidR="00CF30DA" w:rsidRPr="000A2654" w:rsidRDefault="00CF30DA" w:rsidP="00CF30DA">
      <w:pPr>
        <w:rPr>
          <w:sz w:val="21"/>
          <w:szCs w:val="21"/>
        </w:rPr>
      </w:pPr>
      <w:r w:rsidRPr="000A2654">
        <w:rPr>
          <w:sz w:val="21"/>
          <w:szCs w:val="21"/>
        </w:rPr>
        <w:tab/>
      </w:r>
      <w:r w:rsidRPr="000A2654">
        <w:rPr>
          <w:sz w:val="21"/>
          <w:szCs w:val="21"/>
        </w:rPr>
        <w:tab/>
        <w:t xml:space="preserve">2.5 </w:t>
      </w:r>
      <w:r w:rsidRPr="000A2654">
        <w:rPr>
          <w:sz w:val="21"/>
          <w:szCs w:val="21"/>
        </w:rPr>
        <w:tab/>
        <w:t>CREATE Grants</w:t>
      </w:r>
    </w:p>
    <w:p w:rsidR="00CF30DA" w:rsidRPr="000A2654" w:rsidRDefault="00CF30DA" w:rsidP="00CF30DA">
      <w:pPr>
        <w:rPr>
          <w:sz w:val="21"/>
          <w:szCs w:val="21"/>
        </w:rPr>
      </w:pPr>
      <w:r w:rsidRPr="000A2654">
        <w:rPr>
          <w:sz w:val="21"/>
          <w:szCs w:val="21"/>
        </w:rPr>
        <w:tab/>
      </w:r>
      <w:r w:rsidRPr="000A2654">
        <w:rPr>
          <w:sz w:val="21"/>
          <w:szCs w:val="21"/>
        </w:rPr>
        <w:tab/>
        <w:t xml:space="preserve">2.6 </w:t>
      </w:r>
      <w:r w:rsidRPr="000A2654">
        <w:rPr>
          <w:sz w:val="21"/>
          <w:szCs w:val="21"/>
        </w:rPr>
        <w:tab/>
        <w:t>Start Up</w:t>
      </w:r>
    </w:p>
    <w:p w:rsidR="00CF30DA" w:rsidRPr="000A2654" w:rsidRDefault="00CF30DA" w:rsidP="00CF30DA">
      <w:pPr>
        <w:rPr>
          <w:sz w:val="21"/>
          <w:szCs w:val="21"/>
        </w:rPr>
      </w:pPr>
      <w:r w:rsidRPr="000A2654">
        <w:rPr>
          <w:sz w:val="21"/>
          <w:szCs w:val="21"/>
        </w:rPr>
        <w:tab/>
      </w:r>
      <w:r w:rsidRPr="000A2654">
        <w:rPr>
          <w:sz w:val="21"/>
          <w:szCs w:val="21"/>
        </w:rPr>
        <w:tab/>
        <w:t xml:space="preserve">2.7 </w:t>
      </w:r>
      <w:r w:rsidRPr="000A2654">
        <w:rPr>
          <w:sz w:val="21"/>
          <w:szCs w:val="21"/>
        </w:rPr>
        <w:tab/>
        <w:t>Waitlisted Courses</w:t>
      </w:r>
    </w:p>
    <w:p w:rsidR="00CF30DA" w:rsidRPr="000A2654" w:rsidRDefault="00CF30DA" w:rsidP="00CF30DA">
      <w:pPr>
        <w:rPr>
          <w:sz w:val="21"/>
          <w:szCs w:val="21"/>
        </w:rPr>
      </w:pPr>
      <w:r w:rsidRPr="000A2654">
        <w:rPr>
          <w:sz w:val="21"/>
          <w:szCs w:val="21"/>
        </w:rPr>
        <w:tab/>
      </w:r>
      <w:r w:rsidRPr="000A2654">
        <w:rPr>
          <w:sz w:val="21"/>
          <w:szCs w:val="21"/>
        </w:rPr>
        <w:tab/>
        <w:t xml:space="preserve">2.8 </w:t>
      </w:r>
      <w:r w:rsidRPr="000A2654">
        <w:rPr>
          <w:sz w:val="21"/>
          <w:szCs w:val="21"/>
        </w:rPr>
        <w:tab/>
        <w:t>Promotions</w:t>
      </w:r>
    </w:p>
    <w:p w:rsidR="00CF30DA" w:rsidRPr="000A2654" w:rsidRDefault="00CF30DA" w:rsidP="00CF30DA">
      <w:pPr>
        <w:rPr>
          <w:sz w:val="21"/>
          <w:szCs w:val="21"/>
        </w:rPr>
      </w:pPr>
      <w:r w:rsidRPr="000A2654">
        <w:rPr>
          <w:sz w:val="21"/>
          <w:szCs w:val="21"/>
        </w:rPr>
        <w:tab/>
      </w:r>
      <w:r w:rsidRPr="000A2654">
        <w:rPr>
          <w:sz w:val="21"/>
          <w:szCs w:val="21"/>
        </w:rPr>
        <w:tab/>
        <w:t>2.9</w:t>
      </w:r>
      <w:r w:rsidRPr="000A2654">
        <w:rPr>
          <w:sz w:val="21"/>
          <w:szCs w:val="21"/>
        </w:rPr>
        <w:tab/>
        <w:t>Chair Augmentations</w:t>
      </w:r>
    </w:p>
    <w:p w:rsidR="00CF30DA" w:rsidRPr="000A2654" w:rsidRDefault="00CF30DA" w:rsidP="00CF30DA">
      <w:pPr>
        <w:rPr>
          <w:sz w:val="21"/>
          <w:szCs w:val="21"/>
        </w:rPr>
      </w:pPr>
      <w:r w:rsidRPr="000A2654">
        <w:rPr>
          <w:sz w:val="21"/>
          <w:szCs w:val="21"/>
        </w:rPr>
        <w:tab/>
      </w:r>
      <w:r w:rsidRPr="000A2654">
        <w:rPr>
          <w:sz w:val="21"/>
          <w:szCs w:val="21"/>
        </w:rPr>
        <w:tab/>
        <w:t>2.10</w:t>
      </w:r>
      <w:r w:rsidRPr="000A2654">
        <w:rPr>
          <w:sz w:val="21"/>
          <w:szCs w:val="21"/>
        </w:rPr>
        <w:tab/>
        <w:t xml:space="preserve">Honors </w:t>
      </w:r>
      <w:r w:rsidRPr="000A2654">
        <w:rPr>
          <w:sz w:val="21"/>
          <w:szCs w:val="21"/>
        </w:rPr>
        <w:tab/>
      </w:r>
      <w:r w:rsidRPr="000A2654">
        <w:rPr>
          <w:sz w:val="21"/>
          <w:szCs w:val="21"/>
        </w:rPr>
        <w:tab/>
      </w:r>
      <w:r w:rsidRPr="000A2654">
        <w:rPr>
          <w:sz w:val="21"/>
          <w:szCs w:val="21"/>
        </w:rPr>
        <w:tab/>
        <w:t xml:space="preserve"> </w:t>
      </w:r>
    </w:p>
    <w:p w:rsidR="00CF30DA" w:rsidRPr="000A2654" w:rsidRDefault="00CF30DA" w:rsidP="00CF30DA">
      <w:pPr>
        <w:rPr>
          <w:sz w:val="21"/>
          <w:szCs w:val="21"/>
        </w:rPr>
      </w:pPr>
      <w:r w:rsidRPr="000A2654">
        <w:rPr>
          <w:sz w:val="21"/>
          <w:szCs w:val="21"/>
        </w:rPr>
        <w:t xml:space="preserve">SECTION 3: </w:t>
      </w:r>
      <w:r w:rsidRPr="000A2654">
        <w:rPr>
          <w:sz w:val="21"/>
          <w:szCs w:val="21"/>
        </w:rPr>
        <w:tab/>
        <w:t>Faculty Additional Pay</w:t>
      </w:r>
    </w:p>
    <w:p w:rsidR="00CF30DA" w:rsidRPr="000A2654" w:rsidRDefault="00CF30DA" w:rsidP="00CF30DA">
      <w:pPr>
        <w:rPr>
          <w:sz w:val="21"/>
          <w:szCs w:val="21"/>
        </w:rPr>
      </w:pPr>
      <w:r w:rsidRPr="000A2654">
        <w:rPr>
          <w:sz w:val="21"/>
          <w:szCs w:val="21"/>
        </w:rPr>
        <w:tab/>
      </w:r>
      <w:r w:rsidRPr="000A2654">
        <w:rPr>
          <w:sz w:val="21"/>
          <w:szCs w:val="21"/>
        </w:rPr>
        <w:tab/>
        <w:t xml:space="preserve">3.1 </w:t>
      </w:r>
      <w:r w:rsidRPr="000A2654">
        <w:rPr>
          <w:sz w:val="21"/>
          <w:szCs w:val="21"/>
        </w:rPr>
        <w:tab/>
        <w:t>Tasks</w:t>
      </w:r>
    </w:p>
    <w:p w:rsidR="00CF30DA" w:rsidRPr="000A2654" w:rsidRDefault="00CF30DA" w:rsidP="00CF30DA">
      <w:pPr>
        <w:rPr>
          <w:sz w:val="21"/>
          <w:szCs w:val="21"/>
        </w:rPr>
      </w:pPr>
      <w:r w:rsidRPr="000A2654">
        <w:rPr>
          <w:sz w:val="21"/>
          <w:szCs w:val="21"/>
        </w:rPr>
        <w:tab/>
      </w:r>
      <w:r w:rsidRPr="000A2654">
        <w:rPr>
          <w:sz w:val="21"/>
          <w:szCs w:val="21"/>
        </w:rPr>
        <w:tab/>
        <w:t xml:space="preserve">3.2 </w:t>
      </w:r>
      <w:r w:rsidRPr="000A2654">
        <w:rPr>
          <w:sz w:val="21"/>
          <w:szCs w:val="21"/>
        </w:rPr>
        <w:tab/>
        <w:t>Augmentations/Stipends</w:t>
      </w:r>
    </w:p>
    <w:p w:rsidR="00CF30DA" w:rsidRPr="000A2654" w:rsidRDefault="00CF30DA" w:rsidP="00CF30DA">
      <w:pPr>
        <w:rPr>
          <w:sz w:val="21"/>
          <w:szCs w:val="21"/>
        </w:rPr>
      </w:pPr>
      <w:r w:rsidRPr="000A2654">
        <w:rPr>
          <w:sz w:val="21"/>
          <w:szCs w:val="21"/>
        </w:rPr>
        <w:tab/>
      </w:r>
      <w:r w:rsidRPr="000A2654">
        <w:rPr>
          <w:sz w:val="21"/>
          <w:szCs w:val="21"/>
        </w:rPr>
        <w:tab/>
        <w:t xml:space="preserve">3.3 </w:t>
      </w:r>
      <w:r w:rsidRPr="000A2654">
        <w:rPr>
          <w:sz w:val="21"/>
          <w:szCs w:val="21"/>
        </w:rPr>
        <w:tab/>
        <w:t>Endowed Professorships</w:t>
      </w:r>
    </w:p>
    <w:p w:rsidR="00CF30DA" w:rsidRPr="000A2654" w:rsidRDefault="00CF30DA" w:rsidP="00CF30DA">
      <w:pPr>
        <w:rPr>
          <w:sz w:val="21"/>
          <w:szCs w:val="21"/>
        </w:rPr>
      </w:pPr>
      <w:r w:rsidRPr="000A2654">
        <w:rPr>
          <w:sz w:val="21"/>
          <w:szCs w:val="21"/>
        </w:rPr>
        <w:tab/>
      </w:r>
      <w:r w:rsidRPr="000A2654">
        <w:rPr>
          <w:sz w:val="21"/>
          <w:szCs w:val="21"/>
        </w:rPr>
        <w:tab/>
        <w:t>3.4</w:t>
      </w:r>
      <w:r w:rsidRPr="000A2654">
        <w:rPr>
          <w:sz w:val="21"/>
          <w:szCs w:val="21"/>
        </w:rPr>
        <w:tab/>
        <w:t>Other Additional Pay</w:t>
      </w:r>
    </w:p>
    <w:p w:rsidR="00CF30DA" w:rsidRPr="000A2654" w:rsidRDefault="00CF30DA" w:rsidP="00CF30DA">
      <w:pPr>
        <w:rPr>
          <w:sz w:val="21"/>
          <w:szCs w:val="21"/>
        </w:rPr>
      </w:pPr>
      <w:r w:rsidRPr="000A2654">
        <w:rPr>
          <w:sz w:val="21"/>
          <w:szCs w:val="21"/>
        </w:rPr>
        <w:t>SECTION 4:</w:t>
      </w:r>
      <w:r w:rsidRPr="000A2654">
        <w:rPr>
          <w:sz w:val="21"/>
          <w:szCs w:val="21"/>
        </w:rPr>
        <w:tab/>
        <w:t>Formula Funding</w:t>
      </w:r>
    </w:p>
    <w:p w:rsidR="00CF30DA" w:rsidRPr="000A2654" w:rsidRDefault="00CF30DA" w:rsidP="00CF30DA">
      <w:pPr>
        <w:rPr>
          <w:sz w:val="21"/>
          <w:szCs w:val="21"/>
        </w:rPr>
      </w:pPr>
      <w:r w:rsidRPr="000A2654">
        <w:rPr>
          <w:sz w:val="21"/>
          <w:szCs w:val="21"/>
        </w:rPr>
        <w:tab/>
      </w:r>
      <w:r w:rsidRPr="000A2654">
        <w:rPr>
          <w:sz w:val="21"/>
          <w:szCs w:val="21"/>
        </w:rPr>
        <w:tab/>
        <w:t>4.1</w:t>
      </w:r>
      <w:r w:rsidRPr="000A2654">
        <w:rPr>
          <w:sz w:val="21"/>
          <w:szCs w:val="21"/>
        </w:rPr>
        <w:tab/>
        <w:t>Instruction &amp; Operating</w:t>
      </w:r>
    </w:p>
    <w:p w:rsidR="00CF30DA" w:rsidRPr="000A2654" w:rsidRDefault="00CF30DA" w:rsidP="00CF30DA">
      <w:pPr>
        <w:rPr>
          <w:sz w:val="21"/>
          <w:szCs w:val="21"/>
        </w:rPr>
      </w:pPr>
      <w:r w:rsidRPr="000A2654">
        <w:rPr>
          <w:sz w:val="21"/>
          <w:szCs w:val="21"/>
        </w:rPr>
        <w:tab/>
      </w:r>
      <w:r w:rsidRPr="000A2654">
        <w:rPr>
          <w:sz w:val="21"/>
          <w:szCs w:val="21"/>
        </w:rPr>
        <w:tab/>
        <w:t>4.2</w:t>
      </w:r>
      <w:r w:rsidRPr="000A2654">
        <w:rPr>
          <w:sz w:val="21"/>
          <w:szCs w:val="21"/>
        </w:rPr>
        <w:tab/>
        <w:t xml:space="preserve">Infrastructure </w:t>
      </w:r>
    </w:p>
    <w:p w:rsidR="00CF30DA" w:rsidRPr="000A2654" w:rsidRDefault="00CF30DA" w:rsidP="00CF30DA">
      <w:pPr>
        <w:rPr>
          <w:sz w:val="21"/>
          <w:szCs w:val="21"/>
        </w:rPr>
      </w:pPr>
      <w:r w:rsidRPr="000A2654">
        <w:rPr>
          <w:sz w:val="21"/>
          <w:szCs w:val="21"/>
        </w:rPr>
        <w:t>SECTION 5:</w:t>
      </w:r>
      <w:r w:rsidRPr="000A2654">
        <w:rPr>
          <w:sz w:val="21"/>
          <w:szCs w:val="21"/>
        </w:rPr>
        <w:tab/>
        <w:t>Instructional Fees</w:t>
      </w:r>
    </w:p>
    <w:p w:rsidR="00CF30DA" w:rsidRPr="000A2654" w:rsidRDefault="00CF30DA" w:rsidP="00CF30DA">
      <w:pPr>
        <w:rPr>
          <w:sz w:val="21"/>
          <w:szCs w:val="21"/>
        </w:rPr>
      </w:pPr>
      <w:r w:rsidRPr="000A2654">
        <w:rPr>
          <w:sz w:val="21"/>
          <w:szCs w:val="21"/>
        </w:rPr>
        <w:t xml:space="preserve">SECTION 6: </w:t>
      </w:r>
      <w:r w:rsidRPr="000A2654">
        <w:rPr>
          <w:sz w:val="21"/>
          <w:szCs w:val="21"/>
        </w:rPr>
        <w:tab/>
        <w:t>Summer Payroll</w:t>
      </w:r>
    </w:p>
    <w:p w:rsidR="00CF30DA" w:rsidRPr="000A2654" w:rsidRDefault="00CF30DA" w:rsidP="00CF30DA">
      <w:pPr>
        <w:rPr>
          <w:sz w:val="21"/>
          <w:szCs w:val="21"/>
        </w:rPr>
      </w:pPr>
      <w:r w:rsidRPr="000A2654">
        <w:rPr>
          <w:sz w:val="21"/>
          <w:szCs w:val="21"/>
        </w:rPr>
        <w:tab/>
      </w:r>
      <w:r w:rsidRPr="000A2654">
        <w:rPr>
          <w:sz w:val="21"/>
          <w:szCs w:val="21"/>
        </w:rPr>
        <w:tab/>
        <w:t xml:space="preserve">6.1 </w:t>
      </w:r>
      <w:r w:rsidRPr="000A2654">
        <w:rPr>
          <w:sz w:val="21"/>
          <w:szCs w:val="21"/>
        </w:rPr>
        <w:tab/>
        <w:t>9-month appointment pay options</w:t>
      </w:r>
    </w:p>
    <w:p w:rsidR="00CF30DA" w:rsidRPr="000A2654" w:rsidRDefault="00CF30DA" w:rsidP="00CF30DA">
      <w:pPr>
        <w:rPr>
          <w:sz w:val="21"/>
          <w:szCs w:val="21"/>
        </w:rPr>
      </w:pPr>
      <w:r w:rsidRPr="000A2654">
        <w:rPr>
          <w:sz w:val="21"/>
          <w:szCs w:val="21"/>
        </w:rPr>
        <w:tab/>
      </w:r>
      <w:r w:rsidRPr="000A2654">
        <w:rPr>
          <w:sz w:val="21"/>
          <w:szCs w:val="21"/>
        </w:rPr>
        <w:tab/>
        <w:t xml:space="preserve">6.2 </w:t>
      </w:r>
      <w:r w:rsidRPr="000A2654">
        <w:rPr>
          <w:sz w:val="21"/>
          <w:szCs w:val="21"/>
        </w:rPr>
        <w:tab/>
        <w:t>Summer Payroll &amp; Job Codes</w:t>
      </w:r>
    </w:p>
    <w:p w:rsidR="00CF30DA" w:rsidRPr="000A2654" w:rsidRDefault="00CF30DA" w:rsidP="00CF30DA">
      <w:pPr>
        <w:rPr>
          <w:sz w:val="21"/>
          <w:szCs w:val="21"/>
        </w:rPr>
      </w:pPr>
      <w:r w:rsidRPr="000A2654">
        <w:rPr>
          <w:sz w:val="21"/>
          <w:szCs w:val="21"/>
        </w:rPr>
        <w:tab/>
      </w:r>
      <w:r w:rsidRPr="000A2654">
        <w:rPr>
          <w:sz w:val="21"/>
          <w:szCs w:val="21"/>
        </w:rPr>
        <w:tab/>
        <w:t xml:space="preserve">6.3 </w:t>
      </w:r>
      <w:r w:rsidRPr="000A2654">
        <w:rPr>
          <w:sz w:val="21"/>
          <w:szCs w:val="21"/>
        </w:rPr>
        <w:tab/>
        <w:t>Grad Students and Adjuncts</w:t>
      </w:r>
    </w:p>
    <w:p w:rsidR="00CF30DA" w:rsidRPr="000A2654" w:rsidRDefault="00CF30DA" w:rsidP="00CF30DA">
      <w:pPr>
        <w:rPr>
          <w:sz w:val="21"/>
          <w:szCs w:val="21"/>
        </w:rPr>
      </w:pPr>
      <w:r w:rsidRPr="000A2654">
        <w:rPr>
          <w:sz w:val="21"/>
          <w:szCs w:val="21"/>
        </w:rPr>
        <w:tab/>
      </w:r>
      <w:r w:rsidRPr="000A2654">
        <w:rPr>
          <w:sz w:val="21"/>
          <w:szCs w:val="21"/>
        </w:rPr>
        <w:tab/>
        <w:t>6.4</w:t>
      </w:r>
      <w:r w:rsidRPr="000A2654">
        <w:rPr>
          <w:sz w:val="21"/>
          <w:szCs w:val="21"/>
        </w:rPr>
        <w:tab/>
        <w:t>Maymester</w:t>
      </w:r>
    </w:p>
    <w:p w:rsidR="00CF30DA" w:rsidRDefault="00CF30DA" w:rsidP="00CF30DA">
      <w:r w:rsidRPr="000A2654">
        <w:rPr>
          <w:sz w:val="21"/>
          <w:szCs w:val="21"/>
        </w:rPr>
        <w:t xml:space="preserve">SECTION 7: </w:t>
      </w:r>
      <w:r w:rsidRPr="000A2654">
        <w:rPr>
          <w:sz w:val="21"/>
          <w:szCs w:val="21"/>
        </w:rPr>
        <w:tab/>
        <w:t>Regular Semester Payroll</w:t>
      </w:r>
      <w:r>
        <w:tab/>
      </w:r>
    </w:p>
    <w:p w:rsidR="00CF30DA" w:rsidRDefault="00CF30DA" w:rsidP="00CF30DA"/>
    <w:p w:rsidR="00CF30DA" w:rsidRDefault="00CF30DA" w:rsidP="00CF30DA"/>
    <w:p w:rsidR="00CF30DA" w:rsidRDefault="00CF30DA" w:rsidP="00CF30DA"/>
    <w:p w:rsidR="00CF30DA" w:rsidRPr="006175F4" w:rsidRDefault="00CF30DA" w:rsidP="00CF30DA">
      <w:pPr>
        <w:rPr>
          <w:b/>
        </w:rPr>
      </w:pPr>
      <w:r>
        <w:rPr>
          <w:b/>
        </w:rPr>
        <w:t xml:space="preserve">1: </w:t>
      </w:r>
      <w:r w:rsidRPr="006175F4">
        <w:rPr>
          <w:b/>
        </w:rPr>
        <w:t>INTRODUCTION</w:t>
      </w:r>
    </w:p>
    <w:p w:rsidR="00CF30DA" w:rsidRDefault="00CF30DA" w:rsidP="00CF30DA">
      <w:r>
        <w:t>This budget procedure manual, issued by the office of Academic Affairs, has been prepared as a reference tool for the college budget officers and other internal staff that participate in the budget process. The office of Academic Affairs intends for the procedures contained in this manual to comply with all federal, state and university policies.</w:t>
      </w:r>
    </w:p>
    <w:p w:rsidR="00CF30DA" w:rsidRDefault="00CF30DA" w:rsidP="00CF30DA"/>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Pr="006175F4" w:rsidRDefault="00CF30DA" w:rsidP="00CF30DA">
      <w:pPr>
        <w:rPr>
          <w:b/>
        </w:rPr>
      </w:pPr>
      <w:r>
        <w:rPr>
          <w:b/>
        </w:rPr>
        <w:t xml:space="preserve">2: </w:t>
      </w:r>
      <w:r w:rsidRPr="006175F4">
        <w:rPr>
          <w:b/>
        </w:rPr>
        <w:t xml:space="preserve">CENTRAILIZED FACULTY SUPPORT </w:t>
      </w:r>
    </w:p>
    <w:p w:rsidR="00CF30DA" w:rsidRPr="00541C6D" w:rsidRDefault="00CF30DA" w:rsidP="00CF30DA">
      <w:pPr>
        <w:rPr>
          <w:b/>
        </w:rPr>
      </w:pPr>
      <w:r w:rsidRPr="00541C6D">
        <w:rPr>
          <w:b/>
        </w:rPr>
        <w:t xml:space="preserve">2.1 </w:t>
      </w:r>
      <w:r w:rsidRPr="00541C6D">
        <w:rPr>
          <w:b/>
        </w:rPr>
        <w:tab/>
        <w:t>Frisco Campus</w:t>
      </w:r>
    </w:p>
    <w:p w:rsidR="00CF30DA" w:rsidRDefault="00CF30DA" w:rsidP="00CF30DA">
      <w:r>
        <w:t>Frisco Campus instruction that is charged to academic department budgets is reimbursed by the Frisco campus budget after census date. The department will complete the hiring process based on their status as either an adjunct or faculty teaching out of load.</w:t>
      </w:r>
    </w:p>
    <w:p w:rsidR="00CF30DA" w:rsidRDefault="00CF30DA" w:rsidP="00CF30DA">
      <w:pPr>
        <w:pStyle w:val="ListParagraph"/>
        <w:numPr>
          <w:ilvl w:val="0"/>
          <w:numId w:val="1"/>
        </w:numPr>
      </w:pPr>
      <w:r>
        <w:t xml:space="preserve">For </w:t>
      </w:r>
      <w:hyperlink r:id="rId7" w:history="1">
        <w:r w:rsidRPr="00C25A33">
          <w:rPr>
            <w:rStyle w:val="Hyperlink"/>
          </w:rPr>
          <w:t>Adjuncts</w:t>
        </w:r>
      </w:hyperlink>
      <w:r>
        <w:t>, complete adjunct offer letter &amp; ePAR.</w:t>
      </w:r>
    </w:p>
    <w:p w:rsidR="00CF30DA" w:rsidRDefault="00CF30DA" w:rsidP="00CF30DA">
      <w:pPr>
        <w:pStyle w:val="ListParagraph"/>
        <w:numPr>
          <w:ilvl w:val="0"/>
          <w:numId w:val="1"/>
        </w:numPr>
      </w:pPr>
      <w:r>
        <w:t xml:space="preserve">For Faculty teaching out-of-load, complete </w:t>
      </w:r>
      <w:hyperlink r:id="rId8" w:history="1">
        <w:r w:rsidRPr="00C25A33">
          <w:rPr>
            <w:rStyle w:val="Hyperlink"/>
          </w:rPr>
          <w:t>faculty overload offer letter</w:t>
        </w:r>
      </w:hyperlink>
      <w:r>
        <w:t xml:space="preserve"> &amp; ePAR</w:t>
      </w:r>
    </w:p>
    <w:p w:rsidR="006E4AF1" w:rsidRDefault="006E4AF1" w:rsidP="00CF30DA">
      <w:pPr>
        <w:pStyle w:val="ListParagraph"/>
        <w:numPr>
          <w:ilvl w:val="0"/>
          <w:numId w:val="1"/>
        </w:numPr>
      </w:pPr>
      <w:r>
        <w:t>Salaries must be approved by Dr. Brenda McCoy before Offer letters are sent.</w:t>
      </w:r>
    </w:p>
    <w:p w:rsidR="006E4AF1" w:rsidRDefault="006E4AF1" w:rsidP="00CF30DA">
      <w:pPr>
        <w:pStyle w:val="ListParagraph"/>
        <w:numPr>
          <w:ilvl w:val="0"/>
          <w:numId w:val="1"/>
        </w:numPr>
      </w:pPr>
      <w:r>
        <w:t xml:space="preserve">Please insert Shauna Barbato (s10436) as an approver on the ePAR to verity Salary and Chartstring. </w:t>
      </w:r>
    </w:p>
    <w:p w:rsidR="00CF30DA" w:rsidRDefault="00CF30DA" w:rsidP="00CF30DA">
      <w:r>
        <w:t>As with any other centrally funded faculty compensation, it is important to ensure that the salary is paid using the same fund code as the office that will be reimbursing your department. The Frisco</w:t>
      </w:r>
      <w:r w:rsidR="006E4AF1">
        <w:t xml:space="preserve"> Campus budget is funded in FY18 using fund category </w:t>
      </w:r>
      <w:r w:rsidR="00A22200">
        <w:t xml:space="preserve">105 </w:t>
      </w:r>
      <w:r w:rsidR="006E4AF1">
        <w:t xml:space="preserve">fund </w:t>
      </w:r>
      <w:r w:rsidR="00A22200">
        <w:t xml:space="preserve">805001 </w:t>
      </w:r>
      <w:r w:rsidR="006E4AF1">
        <w:t>function 100</w:t>
      </w:r>
      <w:r>
        <w:t>. The following data should be entered in the ePAR when entering Department Budget Data:</w:t>
      </w:r>
    </w:p>
    <w:p w:rsidR="00CF30DA" w:rsidRDefault="00CF30DA" w:rsidP="00CF30DA">
      <w:pPr>
        <w:pStyle w:val="ListParagraph"/>
        <w:numPr>
          <w:ilvl w:val="0"/>
          <w:numId w:val="2"/>
        </w:numPr>
      </w:pPr>
      <w:r>
        <w:t>Dept.</w:t>
      </w:r>
      <w:r>
        <w:tab/>
      </w:r>
      <w:r>
        <w:tab/>
        <w:t>Your academic department ID (1XXXXX)</w:t>
      </w:r>
    </w:p>
    <w:p w:rsidR="00CF30DA" w:rsidRDefault="00CF30DA" w:rsidP="00CF30DA">
      <w:pPr>
        <w:pStyle w:val="ListParagraph"/>
        <w:numPr>
          <w:ilvl w:val="0"/>
          <w:numId w:val="2"/>
        </w:numPr>
      </w:pPr>
      <w:r>
        <w:t>Account</w:t>
      </w:r>
      <w:r>
        <w:tab/>
        <w:t>Faculty Salary account that coincides to appointment type</w:t>
      </w:r>
    </w:p>
    <w:p w:rsidR="00CF30DA" w:rsidRDefault="00CF30DA" w:rsidP="00CF30DA">
      <w:pPr>
        <w:pStyle w:val="ListParagraph"/>
        <w:numPr>
          <w:ilvl w:val="0"/>
          <w:numId w:val="2"/>
        </w:numPr>
      </w:pPr>
      <w:r>
        <w:t>Fund Cat</w:t>
      </w:r>
      <w:r>
        <w:tab/>
      </w:r>
      <w:r w:rsidR="00A22200">
        <w:t>105</w:t>
      </w:r>
    </w:p>
    <w:p w:rsidR="00CF30DA" w:rsidRDefault="00CF30DA" w:rsidP="00CF30DA">
      <w:pPr>
        <w:pStyle w:val="ListParagraph"/>
        <w:numPr>
          <w:ilvl w:val="0"/>
          <w:numId w:val="2"/>
        </w:numPr>
      </w:pPr>
      <w:r>
        <w:t>Fund</w:t>
      </w:r>
      <w:r>
        <w:tab/>
      </w:r>
      <w:r>
        <w:tab/>
      </w:r>
      <w:r w:rsidR="00A22200">
        <w:t>805001</w:t>
      </w:r>
    </w:p>
    <w:p w:rsidR="00CF30DA" w:rsidRDefault="00CF30DA" w:rsidP="00CF30DA">
      <w:pPr>
        <w:pStyle w:val="ListParagraph"/>
        <w:numPr>
          <w:ilvl w:val="0"/>
          <w:numId w:val="2"/>
        </w:numPr>
      </w:pPr>
      <w:r>
        <w:t xml:space="preserve">Function </w:t>
      </w:r>
      <w:r>
        <w:tab/>
        <w:t>100 (if for instruction)</w:t>
      </w:r>
    </w:p>
    <w:p w:rsidR="00CF30DA" w:rsidRDefault="00CF30DA" w:rsidP="00CF30DA">
      <w:pPr>
        <w:pStyle w:val="ListParagraph"/>
        <w:numPr>
          <w:ilvl w:val="0"/>
          <w:numId w:val="2"/>
        </w:numPr>
      </w:pPr>
      <w:r>
        <w:t>Site</w:t>
      </w:r>
      <w:r>
        <w:tab/>
      </w:r>
      <w:r>
        <w:tab/>
        <w:t>1286 (Frisco)</w:t>
      </w:r>
    </w:p>
    <w:p w:rsidR="00CF30DA" w:rsidRDefault="00CF30DA" w:rsidP="00CF30DA">
      <w:r>
        <w:t xml:space="preserve">Keep in mind that your department’s faculty may not be funded from fund </w:t>
      </w:r>
      <w:r w:rsidR="00A22200">
        <w:t>805001</w:t>
      </w:r>
      <w:r>
        <w:t>, and it may be necessary to request the creation of a new budget line by the Budget Office before an ePAR can be prepared if a new chart string is needed.</w:t>
      </w:r>
    </w:p>
    <w:p w:rsidR="00CF30DA" w:rsidRDefault="00CF30DA" w:rsidP="00CF30DA">
      <w:r>
        <w:t xml:space="preserve">While department chairs establish pay rates, the Frisco Campus will reimburse departments 10% of faculty annual salary up to $8,500 or up to $5,000 for an adjunct. The reimbursement will come from fund code 805001 only. </w:t>
      </w:r>
    </w:p>
    <w:p w:rsidR="00CF30DA" w:rsidRPr="00A76606" w:rsidRDefault="00CF30DA" w:rsidP="00CF30DA">
      <w:r>
        <w:t xml:space="preserve">It is important to note that Frisco’s budget may change from one year to another. It is therefore important to verify Frisco’s Fund prior to ePAR submission. </w:t>
      </w:r>
    </w:p>
    <w:p w:rsidR="00CF30DA" w:rsidRPr="002049E4" w:rsidRDefault="00CF30DA" w:rsidP="00CF30DA">
      <w:pPr>
        <w:rPr>
          <w:b/>
        </w:rPr>
      </w:pPr>
      <w:r w:rsidRPr="002049E4">
        <w:rPr>
          <w:b/>
        </w:rPr>
        <w:t>2.2 Junior Faculty Summer Research Support Award</w:t>
      </w:r>
    </w:p>
    <w:p w:rsidR="00CF30DA" w:rsidRDefault="00CF30DA" w:rsidP="00CF30DA">
      <w:r>
        <w:t xml:space="preserve">Associate or Assistant Professors hired without tenure are eligible for the Junior Faculty Summer Research Support Award. </w:t>
      </w:r>
    </w:p>
    <w:p w:rsidR="00CF30DA" w:rsidRDefault="00CF30DA" w:rsidP="00CF30DA">
      <w:r>
        <w:t xml:space="preserve">Those receiving this one-time summer support are notified in their initial offer letters. A master list of these faculty members is maintained in the office of Academic Affairs. Funds are not released to the associate or assistant professor’s budgets until the funds are requested by the department. </w:t>
      </w:r>
    </w:p>
    <w:p w:rsidR="00CF30DA" w:rsidRDefault="00CF30DA" w:rsidP="00CF30DA">
      <w:r>
        <w:t xml:space="preserve">This is a one-time award of five thousand dollars issued to the associate or assistant professor in their first summer. The junior faculty member may request through Academic Affairs that the award be </w:t>
      </w:r>
      <w:r>
        <w:lastRenderedPageBreak/>
        <w:t xml:space="preserve">deferred until the second summer of their employment. A deferral request must be made within six months of the faculty members hire. Funds will not be rolled forward for additional years. </w:t>
      </w:r>
    </w:p>
    <w:p w:rsidR="00CF30DA" w:rsidRDefault="00CF30DA" w:rsidP="00CF30DA">
      <w:r>
        <w:t xml:space="preserve">Funds may be used for: </w:t>
      </w:r>
    </w:p>
    <w:p w:rsidR="00CF30DA" w:rsidRDefault="00CF30DA" w:rsidP="00CF30DA">
      <w:pPr>
        <w:pStyle w:val="ListParagraph"/>
        <w:numPr>
          <w:ilvl w:val="0"/>
          <w:numId w:val="13"/>
        </w:numPr>
      </w:pPr>
      <w:r>
        <w:t>summer salary</w:t>
      </w:r>
    </w:p>
    <w:p w:rsidR="00CF30DA" w:rsidRDefault="00CF30DA" w:rsidP="00CF30DA">
      <w:pPr>
        <w:pStyle w:val="ListParagraph"/>
        <w:numPr>
          <w:ilvl w:val="0"/>
          <w:numId w:val="13"/>
        </w:numPr>
      </w:pPr>
      <w:r>
        <w:t xml:space="preserve">equipment </w:t>
      </w:r>
    </w:p>
    <w:p w:rsidR="00CF30DA" w:rsidRDefault="00CF30DA" w:rsidP="00CF30DA">
      <w:pPr>
        <w:pStyle w:val="ListParagraph"/>
        <w:numPr>
          <w:ilvl w:val="0"/>
          <w:numId w:val="13"/>
        </w:numPr>
      </w:pPr>
      <w:r>
        <w:t>travel</w:t>
      </w:r>
    </w:p>
    <w:p w:rsidR="00CF30DA" w:rsidRDefault="00CF30DA" w:rsidP="00CF30DA">
      <w:pPr>
        <w:pStyle w:val="ListParagraph"/>
        <w:numPr>
          <w:ilvl w:val="0"/>
          <w:numId w:val="13"/>
        </w:numPr>
      </w:pPr>
      <w:r>
        <w:t>other expenses deemed appropriate by the faculty member</w:t>
      </w:r>
    </w:p>
    <w:p w:rsidR="00CF30DA" w:rsidRDefault="00CF30DA" w:rsidP="00CF30DA">
      <w:r>
        <w:t xml:space="preserve">The expectation is for these funds to be applied to activities that will assist the new junior faculty member in their scholarly efforts at the University. </w:t>
      </w:r>
    </w:p>
    <w:p w:rsidR="00CF30DA" w:rsidRDefault="00CF30DA" w:rsidP="00CF30DA">
      <w:r>
        <w:t xml:space="preserve">To request the awarded funds or to request a deferment an email must be sent to </w:t>
      </w:r>
      <w:hyperlink r:id="rId9" w:history="1">
        <w:r w:rsidRPr="00E138B4">
          <w:rPr>
            <w:rStyle w:val="Hyperlink"/>
          </w:rPr>
          <w:t>Dilana.King@unt.edu</w:t>
        </w:r>
      </w:hyperlink>
      <w:r>
        <w:t xml:space="preserve">.  The department budget officer or area administrative personnel will need to provide the department chartstring for the funds to be transferred. The funds are transferred to that chartstring with the faculty member’s project ID number. </w:t>
      </w:r>
    </w:p>
    <w:p w:rsidR="00CF30DA" w:rsidRDefault="00CF30DA" w:rsidP="00CF30DA">
      <w:r>
        <w:t xml:space="preserve">If the junior faculty member chooses to receive this award in the form of compensation, the department will prepare a VPAA-11B form to authorize the summer salary and an ePAR after the VPAA-11B is approved. Please be aware of any limitations for summer salary, as this award will contribute to overall compensation for that summer period. </w:t>
      </w:r>
    </w:p>
    <w:p w:rsidR="00CF30DA" w:rsidRPr="002049E4" w:rsidRDefault="00CF30DA" w:rsidP="00CF30DA">
      <w:pPr>
        <w:rPr>
          <w:b/>
        </w:rPr>
      </w:pPr>
      <w:r w:rsidRPr="002049E4">
        <w:rPr>
          <w:b/>
        </w:rPr>
        <w:t>2.3 Study Abroad</w:t>
      </w:r>
    </w:p>
    <w:p w:rsidR="00CF30DA" w:rsidRDefault="00CF30DA" w:rsidP="00CF30DA">
      <w:r>
        <w:t xml:space="preserve">If 51% or more of a course is taught by a host university, then it will be considered a transfer credit. For transfer credit, students pay the tuition of the local institution. The local institution fee is collected as part of the program fee and SAO pays the institution on behalf of the student. </w:t>
      </w:r>
    </w:p>
    <w:p w:rsidR="00CF30DA" w:rsidRDefault="00CF30DA" w:rsidP="00CF30DA">
      <w:r>
        <w:t xml:space="preserve">If 51% or more of the course is taught by a UNT faculty, then students pay UNT tuition for the course. </w:t>
      </w:r>
    </w:p>
    <w:p w:rsidR="00CF30DA" w:rsidRDefault="00CF30DA" w:rsidP="00CF30DA">
      <w:r>
        <w:t>Salary for Faculty/Staff are governed by a number of UNT and State rules.</w:t>
      </w:r>
    </w:p>
    <w:p w:rsidR="00CF30DA" w:rsidRDefault="00CF30DA" w:rsidP="00CF30DA">
      <w:pPr>
        <w:pStyle w:val="ListParagraph"/>
        <w:numPr>
          <w:ilvl w:val="0"/>
          <w:numId w:val="27"/>
        </w:numPr>
      </w:pPr>
      <w:r>
        <w:t>Salary may not be paid to faculty/staff on twelve-month contracts; however, travel costs can be covered.</w:t>
      </w:r>
    </w:p>
    <w:p w:rsidR="00CF30DA" w:rsidRDefault="00CF30DA" w:rsidP="00CF30DA">
      <w:pPr>
        <w:pStyle w:val="ListParagraph"/>
        <w:numPr>
          <w:ilvl w:val="0"/>
          <w:numId w:val="27"/>
        </w:numPr>
      </w:pPr>
      <w:r>
        <w:t xml:space="preserve">Salaries for summer programs abroad reference, but do not fully align with, the Summer School Compensation Plan for Teaching Activities. Information for this can be accessed at </w:t>
      </w:r>
      <w:hyperlink r:id="rId10" w:history="1">
        <w:r w:rsidRPr="006056D7">
          <w:rPr>
            <w:rStyle w:val="Hyperlink"/>
          </w:rPr>
          <w:t>http://vpaa.unt.edu/current-initiatives/summer-school</w:t>
        </w:r>
      </w:hyperlink>
      <w:r>
        <w:t xml:space="preserve"> </w:t>
      </w:r>
    </w:p>
    <w:p w:rsidR="00CF30DA" w:rsidRDefault="00CF30DA" w:rsidP="00CF30DA">
      <w:pPr>
        <w:pStyle w:val="ListParagraph"/>
        <w:numPr>
          <w:ilvl w:val="0"/>
          <w:numId w:val="27"/>
        </w:numPr>
      </w:pPr>
      <w:r>
        <w:t>Faculty Leaders do not receive additional pay if a program over enrolls but they may choose to reduce their salary in order to balance the budget on an under enrolled program that still exceeds absolute minimums (10 graduate or 12 undergraduate students).</w:t>
      </w:r>
    </w:p>
    <w:p w:rsidR="00CF30DA" w:rsidRDefault="00CF30DA" w:rsidP="00CF30DA">
      <w:pPr>
        <w:pStyle w:val="ListParagraph"/>
        <w:numPr>
          <w:ilvl w:val="0"/>
          <w:numId w:val="27"/>
        </w:numPr>
      </w:pPr>
      <w:r>
        <w:t xml:space="preserve">Salaries will be set using the Provost Office-Produced list of summer salaries for the most recent published year. </w:t>
      </w:r>
    </w:p>
    <w:p w:rsidR="00CF30DA" w:rsidRDefault="00CF30DA" w:rsidP="00CF30DA">
      <w:pPr>
        <w:pStyle w:val="ListParagraph"/>
        <w:numPr>
          <w:ilvl w:val="1"/>
          <w:numId w:val="27"/>
        </w:numPr>
      </w:pPr>
      <w:r>
        <w:t>The faculty salaried will be set through the program budget approved by the sponsoring Colleges.</w:t>
      </w:r>
    </w:p>
    <w:p w:rsidR="00CF30DA" w:rsidRDefault="00CF30DA" w:rsidP="00CF30DA">
      <w:pPr>
        <w:pStyle w:val="ListParagraph"/>
        <w:numPr>
          <w:ilvl w:val="0"/>
          <w:numId w:val="27"/>
        </w:numPr>
      </w:pPr>
      <w:r>
        <w:t>Only one salary will be allowed per course though the salary can be split between two Faculty Leaders, as long as the total per Leader does not exceed half of their VPAA summer Salary.</w:t>
      </w:r>
    </w:p>
    <w:p w:rsidR="00FF0433" w:rsidRDefault="00CF30DA" w:rsidP="00FF0433">
      <w:pPr>
        <w:pStyle w:val="ListParagraph"/>
        <w:numPr>
          <w:ilvl w:val="0"/>
          <w:numId w:val="27"/>
        </w:numPr>
      </w:pPr>
      <w:r>
        <w:t>TA/GA salaries cannot be covered, though their travel costs can be incorporated, if approved by the Chair, Academic Associate Dean and SAO director.</w:t>
      </w:r>
    </w:p>
    <w:p w:rsidR="00CF30DA" w:rsidRDefault="00CF30DA" w:rsidP="00FF0433">
      <w:pPr>
        <w:pStyle w:val="ListParagraph"/>
        <w:numPr>
          <w:ilvl w:val="0"/>
          <w:numId w:val="27"/>
        </w:numPr>
      </w:pPr>
      <w:r>
        <w:t>SAO will arrange salary payment through each college’s Finance Officer. Funds will be transferred to their department approximately one month before the end of the semester prior to their departure. Faculty Leaders should follow up with their department to determine salary disbursal dates as they are not set or determined by SAO.</w:t>
      </w:r>
    </w:p>
    <w:p w:rsidR="00CF30DA" w:rsidRDefault="00CF30DA" w:rsidP="00CF30DA">
      <w:r>
        <w:t xml:space="preserve">There are three areas for creating a program budget for Study Abroad. </w:t>
      </w:r>
    </w:p>
    <w:p w:rsidR="00CF30DA" w:rsidRDefault="00CF30DA" w:rsidP="00CF30DA">
      <w:pPr>
        <w:pStyle w:val="ListParagraph"/>
        <w:numPr>
          <w:ilvl w:val="0"/>
          <w:numId w:val="21"/>
        </w:numPr>
      </w:pPr>
      <w:r>
        <w:t>Tuition and Fees (instructional expenses)</w:t>
      </w:r>
    </w:p>
    <w:p w:rsidR="00CF30DA" w:rsidRDefault="00CF30DA" w:rsidP="00CF30DA">
      <w:pPr>
        <w:pStyle w:val="ListParagraph"/>
        <w:numPr>
          <w:ilvl w:val="1"/>
          <w:numId w:val="21"/>
        </w:numPr>
      </w:pPr>
      <w:r>
        <w:t>Salary expenses for Faculty Leader, Faculty co-Leader and/or Graduate Teaching Assistant.</w:t>
      </w:r>
    </w:p>
    <w:p w:rsidR="00CF30DA" w:rsidRDefault="00CF30DA" w:rsidP="00CF30DA">
      <w:pPr>
        <w:pStyle w:val="ListParagraph"/>
        <w:numPr>
          <w:ilvl w:val="1"/>
          <w:numId w:val="21"/>
        </w:numPr>
      </w:pPr>
      <w:r>
        <w:t xml:space="preserve">Students on faculty-led study abroad programs are required to pay tuition &amp; fees for a fixed, minimum number of UNT credits offered on the program. </w:t>
      </w:r>
    </w:p>
    <w:p w:rsidR="00CF30DA" w:rsidRDefault="00CF30DA" w:rsidP="00CF30DA">
      <w:pPr>
        <w:pStyle w:val="ListParagraph"/>
        <w:numPr>
          <w:ilvl w:val="1"/>
          <w:numId w:val="21"/>
        </w:numPr>
      </w:pPr>
      <w:r>
        <w:t xml:space="preserve">Faculty leader’s expenses are covered based on the required minimum number of UNT credits. </w:t>
      </w:r>
    </w:p>
    <w:p w:rsidR="00CF30DA" w:rsidRDefault="00CF30DA" w:rsidP="00CF30DA">
      <w:pPr>
        <w:pStyle w:val="ListParagraph"/>
        <w:numPr>
          <w:ilvl w:val="1"/>
          <w:numId w:val="21"/>
        </w:numPr>
      </w:pPr>
      <w:r>
        <w:t>Vendors must break out faculty or GTA expenses which are billable to tuition (internal airfare, and lodging)</w:t>
      </w:r>
    </w:p>
    <w:p w:rsidR="00CF30DA" w:rsidRDefault="00CF30DA" w:rsidP="00CF30DA">
      <w:pPr>
        <w:pStyle w:val="ListParagraph"/>
        <w:numPr>
          <w:ilvl w:val="0"/>
          <w:numId w:val="21"/>
        </w:numPr>
      </w:pPr>
      <w:r>
        <w:t>Programmatic (Non-instructional, group and per student expenses)</w:t>
      </w:r>
    </w:p>
    <w:p w:rsidR="00CF30DA" w:rsidRDefault="00CF30DA" w:rsidP="00CF30DA">
      <w:pPr>
        <w:pStyle w:val="ListParagraph"/>
        <w:numPr>
          <w:ilvl w:val="1"/>
          <w:numId w:val="21"/>
        </w:numPr>
      </w:pPr>
      <w:r>
        <w:t xml:space="preserve">Programmatic costs include fixed expenses for faculty such as museum entries, local transportation, communication, etc. </w:t>
      </w:r>
    </w:p>
    <w:p w:rsidR="00CF30DA" w:rsidRDefault="00CF30DA" w:rsidP="00CF30DA">
      <w:pPr>
        <w:pStyle w:val="ListParagraph"/>
        <w:numPr>
          <w:ilvl w:val="1"/>
          <w:numId w:val="21"/>
        </w:numPr>
      </w:pPr>
      <w:r>
        <w:t>Per student costs include every cost that is based on a per student charge which must increase with each additional participant. (group meals)</w:t>
      </w:r>
    </w:p>
    <w:p w:rsidR="00CF30DA" w:rsidRDefault="00CF30DA" w:rsidP="00CF30DA">
      <w:pPr>
        <w:pStyle w:val="ListParagraph"/>
        <w:numPr>
          <w:ilvl w:val="0"/>
          <w:numId w:val="21"/>
        </w:numPr>
      </w:pPr>
      <w:r>
        <w:t>Out of Pocket student costs *not included in the budget.</w:t>
      </w:r>
    </w:p>
    <w:p w:rsidR="00CF30DA" w:rsidRDefault="00CF30DA" w:rsidP="00CF30DA">
      <w:pPr>
        <w:pStyle w:val="ListParagraph"/>
        <w:numPr>
          <w:ilvl w:val="1"/>
          <w:numId w:val="21"/>
        </w:numPr>
      </w:pPr>
      <w:r>
        <w:t xml:space="preserve">This is important as it is used to create the programs cost sheet so students can anticipate additional costs they might incur. </w:t>
      </w:r>
    </w:p>
    <w:p w:rsidR="00CF30DA" w:rsidRDefault="00CF30DA" w:rsidP="00CF30DA">
      <w:r>
        <w:t>All program budgets must include the following:</w:t>
      </w:r>
    </w:p>
    <w:p w:rsidR="00CF30DA" w:rsidRDefault="00CF30DA" w:rsidP="00CF30DA">
      <w:pPr>
        <w:pStyle w:val="ListParagraph"/>
        <w:numPr>
          <w:ilvl w:val="0"/>
          <w:numId w:val="22"/>
        </w:numPr>
      </w:pPr>
      <w:r>
        <w:t xml:space="preserve">Dedicated on-site staff (at least two) who are responsible for the logistical responsibilities and serve as 24-hour health and safety resources. </w:t>
      </w:r>
    </w:p>
    <w:p w:rsidR="00CF30DA" w:rsidRDefault="00CF30DA" w:rsidP="00CF30DA">
      <w:pPr>
        <w:pStyle w:val="ListParagraph"/>
        <w:numPr>
          <w:ilvl w:val="0"/>
          <w:numId w:val="22"/>
        </w:numPr>
      </w:pPr>
      <w:r>
        <w:t>Classroom/lecture space as needed for the program.</w:t>
      </w:r>
    </w:p>
    <w:p w:rsidR="00CF30DA" w:rsidRDefault="00CF30DA" w:rsidP="00CF30DA">
      <w:pPr>
        <w:pStyle w:val="ListParagraph"/>
        <w:numPr>
          <w:ilvl w:val="0"/>
          <w:numId w:val="22"/>
        </w:numPr>
      </w:pPr>
      <w:r>
        <w:t>On-site orientation, including health and safety information specific to the site.</w:t>
      </w:r>
    </w:p>
    <w:p w:rsidR="00CF30DA" w:rsidRDefault="00CF30DA" w:rsidP="00CF30DA">
      <w:pPr>
        <w:pStyle w:val="ListParagraph"/>
        <w:numPr>
          <w:ilvl w:val="0"/>
          <w:numId w:val="22"/>
        </w:numPr>
      </w:pPr>
      <w:r>
        <w:t>Housing for participants.</w:t>
      </w:r>
    </w:p>
    <w:p w:rsidR="00CF30DA" w:rsidRDefault="00CF30DA" w:rsidP="00CF30DA">
      <w:pPr>
        <w:pStyle w:val="ListParagraph"/>
        <w:numPr>
          <w:ilvl w:val="0"/>
          <w:numId w:val="22"/>
        </w:numPr>
      </w:pPr>
      <w:r>
        <w:t>Faculty Leader, Co-Leader and/or Graduate Teaching Assistant expenses including international coach-class airfare, housing, per diem for meals, incidentals and Salary.</w:t>
      </w:r>
    </w:p>
    <w:p w:rsidR="00CF30DA" w:rsidRDefault="00CF30DA" w:rsidP="00CF30DA">
      <w:pPr>
        <w:pStyle w:val="ListParagraph"/>
        <w:numPr>
          <w:ilvl w:val="0"/>
          <w:numId w:val="22"/>
        </w:numPr>
      </w:pPr>
      <w:r>
        <w:t>Standard Study Abroad Office (SAO) line items:</w:t>
      </w:r>
    </w:p>
    <w:p w:rsidR="00CF30DA" w:rsidRDefault="00CF30DA" w:rsidP="00CF30DA">
      <w:pPr>
        <w:pStyle w:val="ListParagraph"/>
        <w:numPr>
          <w:ilvl w:val="1"/>
          <w:numId w:val="22"/>
        </w:numPr>
      </w:pPr>
      <w:r>
        <w:t>SAO administrative fees, which support administrative costs, associated with the development and administration of programs.</w:t>
      </w:r>
    </w:p>
    <w:p w:rsidR="00CF30DA" w:rsidRDefault="00CF30DA" w:rsidP="00CF30DA">
      <w:pPr>
        <w:pStyle w:val="ListParagraph"/>
        <w:numPr>
          <w:ilvl w:val="1"/>
          <w:numId w:val="22"/>
        </w:numPr>
      </w:pPr>
      <w:r>
        <w:t>Health insurance and emergency evacuation coverage for students on international programs</w:t>
      </w:r>
    </w:p>
    <w:p w:rsidR="00CF30DA" w:rsidRDefault="00CF30DA" w:rsidP="00CF30DA">
      <w:pPr>
        <w:pStyle w:val="ListParagraph"/>
        <w:numPr>
          <w:ilvl w:val="1"/>
          <w:numId w:val="22"/>
        </w:numPr>
      </w:pPr>
      <w:r>
        <w:t>Per student risk management fee</w:t>
      </w:r>
    </w:p>
    <w:p w:rsidR="00CF30DA" w:rsidRDefault="00CF30DA" w:rsidP="00CF30DA">
      <w:pPr>
        <w:pStyle w:val="ListParagraph"/>
        <w:numPr>
          <w:ilvl w:val="1"/>
          <w:numId w:val="22"/>
        </w:numPr>
      </w:pPr>
      <w:r>
        <w:t>Per student contingency fee</w:t>
      </w:r>
    </w:p>
    <w:p w:rsidR="00CF30DA" w:rsidRDefault="00CF30DA" w:rsidP="00CF30DA">
      <w:r>
        <w:t>Optional items that may be included in the budget:</w:t>
      </w:r>
    </w:p>
    <w:p w:rsidR="00CF30DA" w:rsidRDefault="00CF30DA" w:rsidP="00CF30DA">
      <w:pPr>
        <w:pStyle w:val="ListParagraph"/>
        <w:numPr>
          <w:ilvl w:val="0"/>
          <w:numId w:val="24"/>
        </w:numPr>
      </w:pPr>
      <w:r>
        <w:t>Student meal plans</w:t>
      </w:r>
    </w:p>
    <w:p w:rsidR="00CF30DA" w:rsidRDefault="00CF30DA" w:rsidP="00CF30DA">
      <w:pPr>
        <w:pStyle w:val="ListParagraph"/>
        <w:numPr>
          <w:ilvl w:val="0"/>
          <w:numId w:val="24"/>
        </w:numPr>
      </w:pPr>
      <w:r>
        <w:t>Group Welcome and/or Farewell dinner</w:t>
      </w:r>
    </w:p>
    <w:p w:rsidR="00CF30DA" w:rsidRDefault="00CF30DA" w:rsidP="00CF30DA">
      <w:pPr>
        <w:pStyle w:val="ListParagraph"/>
        <w:numPr>
          <w:ilvl w:val="0"/>
          <w:numId w:val="24"/>
        </w:numPr>
      </w:pPr>
      <w:r>
        <w:t>Course-related activities, local tours and cultural visits</w:t>
      </w:r>
    </w:p>
    <w:p w:rsidR="00CF30DA" w:rsidRDefault="00CF30DA" w:rsidP="00CF30DA">
      <w:pPr>
        <w:pStyle w:val="ListParagraph"/>
        <w:numPr>
          <w:ilvl w:val="0"/>
          <w:numId w:val="24"/>
        </w:numPr>
      </w:pPr>
      <w:r>
        <w:t>Academically enriching excursions – entrance fees, transportation to/from event, meals, guides and/or accommodations for event.</w:t>
      </w:r>
    </w:p>
    <w:p w:rsidR="00CF30DA" w:rsidRDefault="00CF30DA" w:rsidP="00CF30DA">
      <w:pPr>
        <w:pStyle w:val="ListParagraph"/>
        <w:numPr>
          <w:ilvl w:val="0"/>
          <w:numId w:val="24"/>
        </w:numPr>
      </w:pPr>
      <w:r>
        <w:t>Student cell phone rental (No usage fees or phone deposits)</w:t>
      </w:r>
    </w:p>
    <w:p w:rsidR="00CF30DA" w:rsidRDefault="00CF30DA" w:rsidP="00CF30DA">
      <w:pPr>
        <w:pStyle w:val="ListParagraph"/>
        <w:numPr>
          <w:ilvl w:val="0"/>
          <w:numId w:val="24"/>
        </w:numPr>
      </w:pPr>
      <w:r>
        <w:t>Internet access</w:t>
      </w:r>
    </w:p>
    <w:p w:rsidR="00CF30DA" w:rsidRDefault="00CF30DA" w:rsidP="00CF30DA">
      <w:pPr>
        <w:pStyle w:val="ListParagraph"/>
        <w:numPr>
          <w:ilvl w:val="0"/>
          <w:numId w:val="24"/>
        </w:numPr>
      </w:pPr>
      <w:r>
        <w:t>Group airport Transfers (not individual tickets)</w:t>
      </w:r>
    </w:p>
    <w:p w:rsidR="00CF30DA" w:rsidRDefault="00CF30DA" w:rsidP="00CF30DA">
      <w:pPr>
        <w:pStyle w:val="ListParagraph"/>
        <w:numPr>
          <w:ilvl w:val="0"/>
          <w:numId w:val="24"/>
        </w:numPr>
      </w:pPr>
      <w:r>
        <w:t>Guest lecturer speaking fees (No international airfare)</w:t>
      </w:r>
    </w:p>
    <w:p w:rsidR="00CF30DA" w:rsidRDefault="00CF30DA" w:rsidP="00CF30DA">
      <w:pPr>
        <w:pStyle w:val="ListParagraph"/>
        <w:numPr>
          <w:ilvl w:val="0"/>
          <w:numId w:val="24"/>
        </w:numPr>
      </w:pPr>
      <w:r>
        <w:t>Host institution/program provider fee</w:t>
      </w:r>
    </w:p>
    <w:p w:rsidR="00CF30DA" w:rsidRDefault="00CF30DA" w:rsidP="00CF30DA">
      <w:pPr>
        <w:pStyle w:val="ListParagraph"/>
        <w:numPr>
          <w:ilvl w:val="0"/>
          <w:numId w:val="24"/>
        </w:numPr>
      </w:pPr>
      <w:r>
        <w:t>Faculty/Staff expenses related to program administration</w:t>
      </w:r>
    </w:p>
    <w:p w:rsidR="00CF30DA" w:rsidRDefault="00CF30DA" w:rsidP="00CF30DA">
      <w:pPr>
        <w:pStyle w:val="ListParagraph"/>
        <w:numPr>
          <w:ilvl w:val="0"/>
          <w:numId w:val="24"/>
        </w:numPr>
      </w:pPr>
      <w:r>
        <w:t xml:space="preserve">Examples – ATM withdrawal fees, credit card fees associated with currency exchange, cash exchange fees, immigration entry/exit fees, wire transfer fees, required memberships, shuttle costs, luggage fees for program materials. </w:t>
      </w:r>
    </w:p>
    <w:p w:rsidR="00CF30DA" w:rsidRDefault="00CF30DA" w:rsidP="00CF30DA">
      <w:pPr>
        <w:pStyle w:val="ListParagraph"/>
        <w:numPr>
          <w:ilvl w:val="0"/>
          <w:numId w:val="24"/>
        </w:numPr>
      </w:pPr>
      <w:r>
        <w:t>Course materials or supplies</w:t>
      </w:r>
    </w:p>
    <w:p w:rsidR="00CF30DA" w:rsidRDefault="00CF30DA" w:rsidP="00CF30DA">
      <w:pPr>
        <w:pStyle w:val="ListParagraph"/>
        <w:numPr>
          <w:ilvl w:val="0"/>
          <w:numId w:val="24"/>
        </w:numPr>
      </w:pPr>
      <w:r>
        <w:t>Pre-departure expenses: (binders, handouts, orientations supplies/food)</w:t>
      </w:r>
    </w:p>
    <w:p w:rsidR="00CF30DA" w:rsidRDefault="00CF30DA" w:rsidP="00CF30DA">
      <w:pPr>
        <w:pStyle w:val="ListParagraph"/>
        <w:numPr>
          <w:ilvl w:val="0"/>
          <w:numId w:val="24"/>
        </w:numPr>
      </w:pPr>
      <w:r>
        <w:t>In-country transportation for faculty, staff and students – such as toll or parking fees</w:t>
      </w:r>
    </w:p>
    <w:p w:rsidR="00CF30DA" w:rsidRDefault="00CF30DA" w:rsidP="00CF30DA">
      <w:r>
        <w:t xml:space="preserve">Program Fees may </w:t>
      </w:r>
      <w:r w:rsidRPr="006261E8">
        <w:rPr>
          <w:b/>
        </w:rPr>
        <w:t>NOT</w:t>
      </w:r>
      <w:r>
        <w:t xml:space="preserve"> include the following:</w:t>
      </w:r>
    </w:p>
    <w:p w:rsidR="00CF30DA" w:rsidRDefault="00CF30DA" w:rsidP="00CF30DA">
      <w:pPr>
        <w:pStyle w:val="ListParagraph"/>
        <w:numPr>
          <w:ilvl w:val="0"/>
          <w:numId w:val="25"/>
        </w:numPr>
      </w:pPr>
      <w:r>
        <w:t>Alcohol – this includes events such as welcome and farewell receptions and program sponsored events.</w:t>
      </w:r>
    </w:p>
    <w:p w:rsidR="00CF30DA" w:rsidRDefault="00CF30DA" w:rsidP="00CF30DA">
      <w:pPr>
        <w:pStyle w:val="ListParagraph"/>
        <w:numPr>
          <w:ilvl w:val="0"/>
          <w:numId w:val="25"/>
        </w:numPr>
      </w:pPr>
      <w:r>
        <w:t>Family and visitors – no expenses incurred by family members or visitors should be included on invoices and are not covered by program funds.</w:t>
      </w:r>
    </w:p>
    <w:p w:rsidR="00CF30DA" w:rsidRDefault="00CF30DA" w:rsidP="00CF30DA">
      <w:pPr>
        <w:pStyle w:val="ListParagraph"/>
        <w:numPr>
          <w:ilvl w:val="0"/>
          <w:numId w:val="25"/>
        </w:numPr>
      </w:pPr>
      <w:r>
        <w:t>Supplemental Insurance - (i.e. Trip cancelation insurance)</w:t>
      </w:r>
    </w:p>
    <w:p w:rsidR="00CF30DA" w:rsidRDefault="00CF30DA" w:rsidP="00CF30DA">
      <w:pPr>
        <w:pStyle w:val="ListParagraph"/>
        <w:numPr>
          <w:ilvl w:val="0"/>
          <w:numId w:val="25"/>
        </w:numPr>
      </w:pPr>
      <w:r>
        <w:t xml:space="preserve">12 and 15 passenger vans – Please see </w:t>
      </w:r>
      <w:hyperlink r:id="rId11" w:history="1">
        <w:r w:rsidRPr="006261E8">
          <w:rPr>
            <w:rStyle w:val="Hyperlink"/>
          </w:rPr>
          <w:t>UNT student Travel Policy 07.001</w:t>
        </w:r>
      </w:hyperlink>
    </w:p>
    <w:p w:rsidR="00CF30DA" w:rsidRDefault="00CF30DA" w:rsidP="00CF30DA">
      <w:r>
        <w:t>Departments should always include the SAO in outside vendor discussions to ensure proper accounting a payment procedures are followed.</w:t>
      </w:r>
    </w:p>
    <w:p w:rsidR="00CF30DA" w:rsidRDefault="00CF30DA" w:rsidP="00CF30DA">
      <w:r>
        <w:t xml:space="preserve">The faculty costs charged per student should not be more than what students would pay for in-state tuition for the course(s). Program funds do not belong to the program and do not carry over from one year to the next. </w:t>
      </w:r>
    </w:p>
    <w:p w:rsidR="00CF30DA" w:rsidRDefault="00CF30DA" w:rsidP="00CF30DA">
      <w:r>
        <w:t>Additional monies collected on a program generally fall into one of the following categories:</w:t>
      </w:r>
    </w:p>
    <w:p w:rsidR="00CF30DA" w:rsidRDefault="00CF30DA" w:rsidP="00CF30DA">
      <w:pPr>
        <w:pStyle w:val="ListParagraph"/>
        <w:numPr>
          <w:ilvl w:val="0"/>
          <w:numId w:val="26"/>
        </w:numPr>
      </w:pPr>
      <w:r>
        <w:t>Enrollment that exceeds the minimum:</w:t>
      </w:r>
    </w:p>
    <w:p w:rsidR="00CF30DA" w:rsidRDefault="00CF30DA" w:rsidP="00CF30DA">
      <w:pPr>
        <w:pStyle w:val="ListParagraph"/>
        <w:numPr>
          <w:ilvl w:val="1"/>
          <w:numId w:val="26"/>
        </w:numPr>
      </w:pPr>
      <w:r>
        <w:t>The University will retain any surplus funds in this area.</w:t>
      </w:r>
    </w:p>
    <w:p w:rsidR="00CF30DA" w:rsidRDefault="00CF30DA" w:rsidP="00CF30DA">
      <w:pPr>
        <w:pStyle w:val="ListParagraph"/>
        <w:numPr>
          <w:ilvl w:val="0"/>
          <w:numId w:val="26"/>
        </w:numPr>
      </w:pPr>
      <w:r>
        <w:t>Over budgeting/underspending:</w:t>
      </w:r>
    </w:p>
    <w:p w:rsidR="00CF30DA" w:rsidRDefault="00CF30DA" w:rsidP="00CF30DA">
      <w:pPr>
        <w:pStyle w:val="ListParagraph"/>
        <w:numPr>
          <w:ilvl w:val="1"/>
          <w:numId w:val="26"/>
        </w:numPr>
      </w:pPr>
      <w:r>
        <w:t>Faculty leaders who end up with surplus program funds should contact SAO for approval to reallocate their advance by adding additional group meals, or program activities.</w:t>
      </w:r>
    </w:p>
    <w:p w:rsidR="00CF30DA" w:rsidRDefault="00CF30DA" w:rsidP="00CF30DA">
      <w:pPr>
        <w:pStyle w:val="ListParagraph"/>
        <w:numPr>
          <w:ilvl w:val="0"/>
          <w:numId w:val="26"/>
        </w:numPr>
      </w:pPr>
      <w:r>
        <w:t>Contingency fee:</w:t>
      </w:r>
    </w:p>
    <w:p w:rsidR="00CF30DA" w:rsidRDefault="00CF30DA" w:rsidP="00CF30DA">
      <w:pPr>
        <w:pStyle w:val="ListParagraph"/>
        <w:numPr>
          <w:ilvl w:val="1"/>
          <w:numId w:val="26"/>
        </w:numPr>
      </w:pPr>
      <w:r>
        <w:t xml:space="preserve">This is charged to cover small fluctuations in currency; unexpected issues with vendors etc. and the funds can be used to cover housing costs associated with uneven gender balances that cannot be predicted. </w:t>
      </w:r>
    </w:p>
    <w:p w:rsidR="00CF30DA" w:rsidRDefault="00CF30DA" w:rsidP="00CF30DA">
      <w:pPr>
        <w:pStyle w:val="ListParagraph"/>
        <w:numPr>
          <w:ilvl w:val="0"/>
          <w:numId w:val="26"/>
        </w:numPr>
      </w:pPr>
      <w:r>
        <w:t>Risk Management Fee:</w:t>
      </w:r>
    </w:p>
    <w:p w:rsidR="00CF30DA" w:rsidRDefault="00CF30DA" w:rsidP="00CF30DA">
      <w:pPr>
        <w:pStyle w:val="ListParagraph"/>
        <w:numPr>
          <w:ilvl w:val="1"/>
          <w:numId w:val="26"/>
        </w:numPr>
      </w:pPr>
      <w:r>
        <w:t xml:space="preserve">This is a non-refundable risk management fee that is collected into a central fund and covers cases of extreme emergency not covered by insurance. </w:t>
      </w:r>
    </w:p>
    <w:p w:rsidR="00CF30DA" w:rsidRDefault="00CF30DA" w:rsidP="00CF30DA">
      <w:r>
        <w:t xml:space="preserve">*SOA is in part a self-supporting office; surplus monies collected on programs will be applied towards the operating costs of SAO to keep the administrative costs charged to students as low as possible. </w:t>
      </w:r>
    </w:p>
    <w:p w:rsidR="00CF30DA" w:rsidRPr="00BE0FA9" w:rsidRDefault="00CF30DA" w:rsidP="00CF30DA">
      <w:pPr>
        <w:rPr>
          <w:b/>
        </w:rPr>
      </w:pPr>
      <w:r w:rsidRPr="00BE0FA9">
        <w:rPr>
          <w:b/>
        </w:rPr>
        <w:t xml:space="preserve">2.4 </w:t>
      </w:r>
      <w:r>
        <w:rPr>
          <w:b/>
        </w:rPr>
        <w:t xml:space="preserve"> Funding Models Related to Online Education</w:t>
      </w:r>
      <w:r w:rsidRPr="00BE0FA9">
        <w:rPr>
          <w:b/>
        </w:rPr>
        <w:t>:</w:t>
      </w:r>
    </w:p>
    <w:p w:rsidR="00CF30DA" w:rsidRDefault="00CF30DA" w:rsidP="00CF30DA">
      <w:r>
        <w:t xml:space="preserve">Several funding models administrated by the Center for Learning Enhancement, Assessment, and Redesign (CLEAR) provide incentives to departments for developing online and off-site courses and programs that attract net-gain students to the university.  Faculty or departments that would like to offer electronically-delivered or off-site courses must follow the relevant </w:t>
      </w:r>
      <w:hyperlink r:id="rId12" w:history="1">
        <w:r w:rsidRPr="00342623">
          <w:rPr>
            <w:rStyle w:val="Hyperlink"/>
          </w:rPr>
          <w:t>approval process.</w:t>
        </w:r>
      </w:hyperlink>
      <w:r>
        <w:t xml:space="preserve"> </w:t>
      </w:r>
    </w:p>
    <w:p w:rsidR="00CF30DA" w:rsidRPr="00653153" w:rsidRDefault="00CF30DA" w:rsidP="00CF30DA">
      <w:pPr>
        <w:rPr>
          <w:u w:val="single"/>
        </w:rPr>
      </w:pPr>
      <w:r w:rsidRPr="00653153">
        <w:rPr>
          <w:u w:val="single"/>
        </w:rPr>
        <w:t>Distributed Learning Funding Model (</w:t>
      </w:r>
      <w:r w:rsidRPr="00653153">
        <w:rPr>
          <w:b/>
          <w:u w:val="single"/>
        </w:rPr>
        <w:t>DLFM</w:t>
      </w:r>
      <w:r w:rsidRPr="00653153">
        <w:rPr>
          <w:u w:val="single"/>
        </w:rPr>
        <w:t xml:space="preserve">) </w:t>
      </w:r>
    </w:p>
    <w:p w:rsidR="00CF30DA" w:rsidRDefault="00CF30DA" w:rsidP="00CF30DA">
      <w:r>
        <w:t xml:space="preserve">The DLFM is available for qualified courses or programs offered electronically (including off-site by videoconference) within Texas. Through this funding model, 83% of the designated tuition (less the mandatory tuition set aside) from </w:t>
      </w:r>
      <w:r w:rsidRPr="005E0022">
        <w:rPr>
          <w:b/>
        </w:rPr>
        <w:t>net-gain students</w:t>
      </w:r>
      <w:r>
        <w:t xml:space="preserve"> is returned to the offering college or school which then typically passes most of the revenue back to the academic department offering the course(s).  In this model, a </w:t>
      </w:r>
      <w:r w:rsidRPr="005E0022">
        <w:rPr>
          <w:b/>
        </w:rPr>
        <w:t>“net-gain student”</w:t>
      </w:r>
      <w:r>
        <w:t xml:space="preserve"> is defined as one who is taking an online/off-site course in Texas, but living more than 50 miles from the Denton Campus, and not taking any other courses on campus. </w:t>
      </w:r>
    </w:p>
    <w:p w:rsidR="00CF30DA" w:rsidRDefault="00CF30DA" w:rsidP="00CF30DA">
      <w:r>
        <w:t>The remaining 17% of revenue covers administrative overhead with 7% going to CLEAR and 2.5% going to VPAA, Budget Office, Student Accounting, and the Registrar’s Office (10% total). The University must budget for these funds before the start of the fiscal year so departments must identify the courses in which qualifying students will enroll. Programs or courses that could qualify for participation in DLFM are as follows:</w:t>
      </w:r>
    </w:p>
    <w:p w:rsidR="00CF30DA" w:rsidRDefault="00CF30DA" w:rsidP="00CF30DA">
      <w:pPr>
        <w:pStyle w:val="ListParagraph"/>
        <w:numPr>
          <w:ilvl w:val="0"/>
          <w:numId w:val="4"/>
        </w:numPr>
      </w:pPr>
      <w:r w:rsidRPr="0017287F">
        <w:rPr>
          <w:i/>
        </w:rPr>
        <w:t>Web-based Courses</w:t>
      </w:r>
      <w:r>
        <w:t xml:space="preserve"> – Students taking a web-based course whose zip code for primary residence is greater than fifty miles from UNT could qualify for participation.</w:t>
      </w:r>
    </w:p>
    <w:p w:rsidR="00CF30DA" w:rsidRDefault="00CF30DA" w:rsidP="00CF30DA">
      <w:pPr>
        <w:pStyle w:val="ListParagraph"/>
        <w:numPr>
          <w:ilvl w:val="0"/>
          <w:numId w:val="4"/>
        </w:numPr>
      </w:pPr>
      <w:r w:rsidRPr="0017287F">
        <w:rPr>
          <w:i/>
        </w:rPr>
        <w:t>Videoconference Courses</w:t>
      </w:r>
      <w:r>
        <w:t xml:space="preserve"> – Students enrolled in a course where the site for the course is at least fifty miles from UNT could qualify for participation.</w:t>
      </w:r>
    </w:p>
    <w:p w:rsidR="00CF30DA" w:rsidRDefault="00CF30DA" w:rsidP="00CF30DA">
      <w:pPr>
        <w:pStyle w:val="ListParagraph"/>
        <w:numPr>
          <w:ilvl w:val="0"/>
          <w:numId w:val="4"/>
        </w:numPr>
      </w:pPr>
      <w:r w:rsidRPr="0017287F">
        <w:rPr>
          <w:i/>
        </w:rPr>
        <w:t>Videoconference Programs</w:t>
      </w:r>
      <w:r>
        <w:t xml:space="preserve"> – Students enrolled in a program where all courses in the program are delivered at a site at least fifty miles from UNT and at least 50% of these courses are delivered via distributed learning would could for participation.</w:t>
      </w:r>
    </w:p>
    <w:p w:rsidR="00CF30DA" w:rsidRDefault="00CF30DA" w:rsidP="00CF30DA">
      <w:r w:rsidRPr="0017287F">
        <w:rPr>
          <w:b/>
        </w:rPr>
        <w:t>EX</w:t>
      </w:r>
      <w:r>
        <w:rPr>
          <w:b/>
        </w:rPr>
        <w:t>C</w:t>
      </w:r>
      <w:r w:rsidRPr="0017287F">
        <w:rPr>
          <w:b/>
        </w:rPr>
        <w:t>EPTION</w:t>
      </w:r>
      <w:r>
        <w:t xml:space="preserve">: An appeal to waive the fifty-mile rule for eligibility may be made to the Provost in such instances where the department can demonstrate that the distance education enrollment represents a net gain to UNT. Any waivers will be granted at the sole discretion of the Provost. </w:t>
      </w:r>
    </w:p>
    <w:p w:rsidR="00CF30DA" w:rsidRPr="0017287F" w:rsidRDefault="00CF30DA" w:rsidP="00CF30DA">
      <w:pPr>
        <w:rPr>
          <w:i/>
          <w:u w:val="single"/>
        </w:rPr>
      </w:pPr>
      <w:r w:rsidRPr="0017287F">
        <w:rPr>
          <w:i/>
          <w:u w:val="single"/>
        </w:rPr>
        <w:t xml:space="preserve">*In order to qualify for DLFM students </w:t>
      </w:r>
      <w:r w:rsidRPr="005E0022">
        <w:rPr>
          <w:b/>
          <w:i/>
          <w:u w:val="single"/>
        </w:rPr>
        <w:t xml:space="preserve">cannot </w:t>
      </w:r>
      <w:r w:rsidRPr="0017287F">
        <w:rPr>
          <w:i/>
          <w:u w:val="single"/>
        </w:rPr>
        <w:t>be simultaneously taking courses at the Denton campus</w:t>
      </w:r>
      <w:r>
        <w:rPr>
          <w:i/>
          <w:u w:val="single"/>
        </w:rPr>
        <w:t xml:space="preserve"> even if the fifty-mile rule is waived. </w:t>
      </w:r>
    </w:p>
    <w:p w:rsidR="00CF30DA" w:rsidRDefault="00CF30DA" w:rsidP="00CF30DA">
      <w:r>
        <w:t xml:space="preserve">Budget chart strings should reflect a program code of 1706 for DLFM expenditures. </w:t>
      </w:r>
    </w:p>
    <w:p w:rsidR="00CF30DA" w:rsidRPr="00653153" w:rsidRDefault="00CF30DA" w:rsidP="00CF30DA">
      <w:pPr>
        <w:rPr>
          <w:u w:val="single"/>
        </w:rPr>
      </w:pPr>
      <w:r w:rsidRPr="00653153">
        <w:rPr>
          <w:u w:val="single"/>
        </w:rPr>
        <w:t>The Out of State Teaching Fee (</w:t>
      </w:r>
      <w:r w:rsidRPr="00653153">
        <w:rPr>
          <w:b/>
          <w:u w:val="single"/>
        </w:rPr>
        <w:t>OSTF</w:t>
      </w:r>
      <w:r w:rsidRPr="00653153">
        <w:rPr>
          <w:u w:val="single"/>
        </w:rPr>
        <w:t xml:space="preserve">) </w:t>
      </w:r>
    </w:p>
    <w:p w:rsidR="00CF30DA" w:rsidRDefault="00CF30DA" w:rsidP="00CF30DA">
      <w:r>
        <w:t xml:space="preserve">Courses taken by non-resident students outside the state of Texas are considered by the Texas legislature (Texas Education Code 54.545) to be self-supporting courses and do not generate formula funding for the university. Students in these courses are charged an Out of State Teaching Fee in lieu of tuition and instructional fees. </w:t>
      </w:r>
    </w:p>
    <w:p w:rsidR="00CF30DA" w:rsidRDefault="00CF30DA" w:rsidP="00CF30DA">
      <w:r>
        <w:t xml:space="preserve">The fee charged to these students </w:t>
      </w:r>
      <w:r w:rsidRPr="00A5545B">
        <w:rPr>
          <w:b/>
        </w:rPr>
        <w:t>must</w:t>
      </w:r>
      <w:r>
        <w:t xml:space="preserve"> cover the cost of instruction, including overhead, and </w:t>
      </w:r>
      <w:r w:rsidRPr="00A5545B">
        <w:rPr>
          <w:b/>
        </w:rPr>
        <w:t>must</w:t>
      </w:r>
      <w:r>
        <w:t xml:space="preserve"> be more than Texas resident tuition (including both state-mandated and board-designated/board authorized portions) and applicable fees. </w:t>
      </w:r>
    </w:p>
    <w:p w:rsidR="00CF30DA" w:rsidRDefault="00CF30DA" w:rsidP="00CF30DA">
      <w:r>
        <w:t>Eighty-three percent (83%) of the Out of State Teaching Fee is placed in a local account within the department and these funds may roll over into the next fiscal year. Colleges/schools may retain a reasonable portion of the funds for administrative overhead.</w:t>
      </w:r>
    </w:p>
    <w:p w:rsidR="00CF30DA" w:rsidRDefault="00CF30DA" w:rsidP="00CF30DA">
      <w:r>
        <w:t xml:space="preserve">Individual forms are not needed for setting up an OSTF. Each spring academic department chairs will be given the opportunity to choose one of four rates ($951, $1,152, $1,350, or $1,700 per 3 SCH) to apply at each level (undergraduate, master’s, and doctoral) for the upcoming academic year. A master table of these selections is maintained and Student Accounting will use this table to place the appropriate OSTF on courses identified on a report generated by the Registrar’s Office. </w:t>
      </w:r>
    </w:p>
    <w:p w:rsidR="00CF30DA" w:rsidRDefault="00CF30DA" w:rsidP="00CF30DA">
      <w:r>
        <w:t>Budget chart strings should reflect a program code of 1715 for OSTF expenditures.</w:t>
      </w:r>
    </w:p>
    <w:p w:rsidR="00CF30DA" w:rsidRPr="00754C5F" w:rsidRDefault="00CF30DA" w:rsidP="00CF30DA">
      <w:pPr>
        <w:rPr>
          <w:u w:val="single"/>
        </w:rPr>
      </w:pPr>
      <w:r w:rsidRPr="00754C5F">
        <w:rPr>
          <w:u w:val="single"/>
        </w:rPr>
        <w:t>Accelerated Online Program (</w:t>
      </w:r>
      <w:r w:rsidRPr="00754C5F">
        <w:rPr>
          <w:b/>
          <w:u w:val="single"/>
        </w:rPr>
        <w:t>AOP</w:t>
      </w:r>
      <w:r w:rsidRPr="00754C5F">
        <w:rPr>
          <w:u w:val="single"/>
        </w:rPr>
        <w:t>)</w:t>
      </w:r>
    </w:p>
    <w:p w:rsidR="00CF30DA" w:rsidRPr="00963AB7" w:rsidRDefault="00CF30DA" w:rsidP="00CF30DA">
      <w:r>
        <w:t xml:space="preserve">The Accelerated Online Program is only applicable to a small number of graduate programs that have redesigned their curriculum to be delivered in 8-week sessions within the long semesters plus in a variety of summer sessions.  Departments that would like to have their programs considered for participation in the AOP model should </w:t>
      </w:r>
      <w:r w:rsidRPr="00963AB7">
        <w:t xml:space="preserve">contact </w:t>
      </w:r>
      <w:r>
        <w:t>the Director of Accelerated Online Programs (AOP) in the Toulouse Graduate School</w:t>
      </w:r>
      <w:r w:rsidRPr="00963AB7">
        <w:t>.</w:t>
      </w:r>
    </w:p>
    <w:p w:rsidR="00CF30DA" w:rsidRPr="00963AB7" w:rsidRDefault="00CF30DA" w:rsidP="00CF30DA">
      <w:r>
        <w:t xml:space="preserve">Initially, academic departments that joined the AOP initiative were provided an internal loan for development of their online programs. Although this loan opportunity is no longer explicitly available, there may be annual funding opportunities to launch new AOP degrees. </w:t>
      </w:r>
    </w:p>
    <w:p w:rsidR="00CF30DA" w:rsidRDefault="00CF30DA" w:rsidP="00CF30DA">
      <w:r>
        <w:t xml:space="preserve">The AOP funding distribution currently has the following breakdown: </w:t>
      </w:r>
    </w:p>
    <w:p w:rsidR="00CF30DA" w:rsidRDefault="00CF30DA" w:rsidP="00CF30DA">
      <w:r w:rsidRPr="005E0022">
        <w:rPr>
          <w:b/>
        </w:rPr>
        <w:t>Of</w:t>
      </w:r>
      <w:r>
        <w:rPr>
          <w:b/>
        </w:rPr>
        <w:t>f-</w:t>
      </w:r>
      <w:r w:rsidRPr="005E0022">
        <w:rPr>
          <w:b/>
        </w:rPr>
        <w:t xml:space="preserve"> the</w:t>
      </w:r>
      <w:r>
        <w:rPr>
          <w:b/>
        </w:rPr>
        <w:t>-</w:t>
      </w:r>
      <w:r w:rsidRPr="005E0022">
        <w:rPr>
          <w:b/>
        </w:rPr>
        <w:t>Top Expenses</w:t>
      </w:r>
      <w:r>
        <w:t xml:space="preserve">:  Twenty-five percent (25%) of the total tuition revenue generated from the AOP program is divided among 7 administrative offices areas.  Departmental expenses for delivering the program are reimbursed directly to the offering department. Instructional costs for faculty teaching in-load are not reimbursed.   </w:t>
      </w:r>
    </w:p>
    <w:p w:rsidR="00CF30DA" w:rsidRDefault="00CF30DA" w:rsidP="00CF30DA">
      <w:r>
        <w:rPr>
          <w:b/>
        </w:rPr>
        <w:t>Direct Expense Reimbursement</w:t>
      </w:r>
      <w:r w:rsidRPr="005E0022">
        <w:rPr>
          <w:b/>
        </w:rPr>
        <w:t xml:space="preserve">: </w:t>
      </w:r>
      <w:r>
        <w:t xml:space="preserve">Departmental expenditures directly related to program delivery (e.g. adjunct instruction, marketing, </w:t>
      </w:r>
      <w:r w:rsidR="006E4AF1">
        <w:t>etc.</w:t>
      </w:r>
      <w:r>
        <w:t>) are reimbursed before computing “profit.”</w:t>
      </w:r>
    </w:p>
    <w:p w:rsidR="00CF30DA" w:rsidRDefault="00CF30DA" w:rsidP="00CF30DA">
      <w:r>
        <w:rPr>
          <w:b/>
        </w:rPr>
        <w:t xml:space="preserve">Net- Revenue - </w:t>
      </w:r>
      <w:r w:rsidRPr="005E0022">
        <w:rPr>
          <w:b/>
        </w:rPr>
        <w:t>“Profit”:</w:t>
      </w:r>
      <w:r>
        <w:t xml:space="preserve"> The final remaining balance is split between the college (30%) and the University (70%). Typically, the college Dean will pass the majority of this “profit” to the offering department, but the exact percentage is negotiated between the department chair and the dean.   </w:t>
      </w:r>
    </w:p>
    <w:p w:rsidR="00CF30DA" w:rsidRDefault="00CF30DA" w:rsidP="00CF30DA">
      <w:r>
        <w:t xml:space="preserve">AOP net revenue (“profit”) that results from the (30/70) split between the college and the university will roll forward across fiscal years. </w:t>
      </w:r>
    </w:p>
    <w:p w:rsidR="00CF30DA" w:rsidRDefault="00CF30DA" w:rsidP="00CF30DA">
      <w:r>
        <w:t>Budget chart stings should reflect a program code of 1716 for AOP expenditures.</w:t>
      </w:r>
    </w:p>
    <w:p w:rsidR="00CF30DA" w:rsidRPr="002049E4" w:rsidRDefault="00CF30DA" w:rsidP="00CF30DA">
      <w:pPr>
        <w:rPr>
          <w:b/>
        </w:rPr>
      </w:pPr>
      <w:r w:rsidRPr="002049E4">
        <w:rPr>
          <w:b/>
        </w:rPr>
        <w:t>2.5 Conference Support and CREATE program:</w:t>
      </w:r>
    </w:p>
    <w:p w:rsidR="00CF30DA" w:rsidRDefault="00CF30DA" w:rsidP="00CF30DA">
      <w:r>
        <w:t xml:space="preserve">The Conference Support grant is available to assistant professors and must be used either in the second or third year of the new faculty member’s appointment.  Application criteria and approval process can be found on the </w:t>
      </w:r>
      <w:hyperlink r:id="rId13" w:history="1">
        <w:r w:rsidRPr="00A5545B">
          <w:rPr>
            <w:rStyle w:val="Hyperlink"/>
          </w:rPr>
          <w:t>Office for Faculty Success website</w:t>
        </w:r>
      </w:hyperlink>
      <w:r>
        <w:t xml:space="preserve">. </w:t>
      </w:r>
    </w:p>
    <w:p w:rsidR="00CF30DA" w:rsidRDefault="00CF30DA" w:rsidP="00CF30DA">
      <w:r>
        <w:t xml:space="preserve">Amount awarded can be up to one thousand dollars. Applications must be submitted at least two months prior to the proposed conference. Upon final approval, the office for Faculty Success will notify the applicant, chair and dean as well as the Office of Academic Resources. </w:t>
      </w:r>
    </w:p>
    <w:p w:rsidR="00CF30DA" w:rsidRDefault="00CF30DA" w:rsidP="00CF30DA">
      <w:r>
        <w:t xml:space="preserve">The assistant professor awarded should work with the department to make travel arrangements; or other necessary </w:t>
      </w:r>
      <w:r w:rsidRPr="00226008">
        <w:t xml:space="preserve">expenditures.  </w:t>
      </w:r>
      <w:r w:rsidRPr="00CD6E12">
        <w:t>Requests for reimbursement should be routed from the department to the office of Faculty Success.</w:t>
      </w:r>
      <w:r>
        <w:t xml:space="preserve"> </w:t>
      </w:r>
    </w:p>
    <w:p w:rsidR="00CF30DA" w:rsidRPr="0053240B" w:rsidRDefault="00CF30DA" w:rsidP="00CF30DA">
      <w:pPr>
        <w:rPr>
          <w:b/>
        </w:rPr>
      </w:pPr>
      <w:r w:rsidRPr="0053240B">
        <w:rPr>
          <w:b/>
        </w:rPr>
        <w:t xml:space="preserve">Allowable expenses: </w:t>
      </w:r>
    </w:p>
    <w:p w:rsidR="00CF30DA" w:rsidRPr="0053240B" w:rsidRDefault="00CF30DA" w:rsidP="00CF30DA">
      <w:pPr>
        <w:pStyle w:val="ListParagraph"/>
        <w:numPr>
          <w:ilvl w:val="0"/>
          <w:numId w:val="5"/>
        </w:numPr>
        <w:rPr>
          <w:i/>
        </w:rPr>
      </w:pPr>
      <w:r w:rsidRPr="0053240B">
        <w:rPr>
          <w:i/>
        </w:rPr>
        <w:t>Conference registration fees</w:t>
      </w:r>
    </w:p>
    <w:p w:rsidR="00CF30DA" w:rsidRPr="0053240B" w:rsidRDefault="00CF30DA" w:rsidP="00CF30DA">
      <w:pPr>
        <w:pStyle w:val="ListParagraph"/>
        <w:numPr>
          <w:ilvl w:val="0"/>
          <w:numId w:val="5"/>
        </w:numPr>
        <w:rPr>
          <w:i/>
        </w:rPr>
      </w:pPr>
      <w:r w:rsidRPr="0053240B">
        <w:rPr>
          <w:i/>
        </w:rPr>
        <w:t>Travel to and from the conference</w:t>
      </w:r>
    </w:p>
    <w:p w:rsidR="00CF30DA" w:rsidRPr="0053240B" w:rsidRDefault="00CF30DA" w:rsidP="00CF30DA">
      <w:pPr>
        <w:pStyle w:val="ListParagraph"/>
        <w:numPr>
          <w:ilvl w:val="0"/>
          <w:numId w:val="5"/>
        </w:numPr>
        <w:rPr>
          <w:i/>
        </w:rPr>
      </w:pPr>
      <w:r w:rsidRPr="0053240B">
        <w:rPr>
          <w:i/>
        </w:rPr>
        <w:t>Meals and incidental trip-related expenditures</w:t>
      </w:r>
    </w:p>
    <w:p w:rsidR="00CF30DA" w:rsidRPr="0053240B" w:rsidRDefault="00CF30DA" w:rsidP="00CF30DA">
      <w:pPr>
        <w:pStyle w:val="ListParagraph"/>
        <w:numPr>
          <w:ilvl w:val="1"/>
          <w:numId w:val="5"/>
        </w:numPr>
        <w:rPr>
          <w:i/>
        </w:rPr>
      </w:pPr>
      <w:r w:rsidRPr="0053240B">
        <w:rPr>
          <w:i/>
        </w:rPr>
        <w:t>With proper documentation</w:t>
      </w:r>
    </w:p>
    <w:p w:rsidR="00CF30DA" w:rsidRDefault="00CF30DA" w:rsidP="00CF30DA">
      <w:r>
        <w:t>The expenses must be charged to the department and fund code 200-830001 or reimbursement to the department may not be possible.</w:t>
      </w:r>
    </w:p>
    <w:p w:rsidR="00CF30DA" w:rsidRDefault="00CF30DA" w:rsidP="00CF30DA">
      <w:r>
        <w:t xml:space="preserve">Any expenses that exceed the awarded amount may be supplemented by departmental funds at the discretion of the department chair. </w:t>
      </w:r>
    </w:p>
    <w:p w:rsidR="00CF30DA" w:rsidRDefault="00CF30DA" w:rsidP="00CF30DA">
      <w:r>
        <w:t xml:space="preserve">Assistant professors utilizing conference support program funds are required to submit the </w:t>
      </w:r>
      <w:hyperlink r:id="rId14" w:history="1">
        <w:r w:rsidRPr="00DD796D">
          <w:rPr>
            <w:rStyle w:val="Hyperlink"/>
          </w:rPr>
          <w:t>Conference Support Report Form</w:t>
        </w:r>
      </w:hyperlink>
      <w:r>
        <w:t xml:space="preserve"> to the Office for Faculty Success within four weeks of return from the conference.</w:t>
      </w:r>
    </w:p>
    <w:p w:rsidR="00CF30DA" w:rsidRDefault="00CF30DA" w:rsidP="00CF30DA"/>
    <w:p w:rsidR="00CF30DA" w:rsidRDefault="00CF30DA" w:rsidP="00CF30DA">
      <w:r>
        <w:t xml:space="preserve">The </w:t>
      </w:r>
      <w:r w:rsidRPr="00F5697D">
        <w:rPr>
          <w:u w:val="single"/>
        </w:rPr>
        <w:t>Creative and Research Enhancement Activity Time for Engagement</w:t>
      </w:r>
      <w:r>
        <w:t xml:space="preserve"> (</w:t>
      </w:r>
      <w:r w:rsidRPr="00F5697D">
        <w:rPr>
          <w:b/>
        </w:rPr>
        <w:t>CREATE</w:t>
      </w:r>
      <w:r>
        <w:t xml:space="preserve">) program award is open to new assistant professors who have successfully completed the midterm review process in their fourth or fifth years. Complete information on eligibility and the approval process can be found on </w:t>
      </w:r>
      <w:hyperlink r:id="rId15" w:history="1">
        <w:r w:rsidRPr="00F5697D">
          <w:rPr>
            <w:rStyle w:val="Hyperlink"/>
          </w:rPr>
          <w:t>the Office for Faculty Success website</w:t>
        </w:r>
      </w:hyperlink>
      <w:r>
        <w:t xml:space="preserve">. </w:t>
      </w:r>
    </w:p>
    <w:p w:rsidR="00CF30DA" w:rsidRDefault="00CF30DA" w:rsidP="00CF30DA">
      <w:r>
        <w:t>The award amount of four thousand dollars may be increased by an additional one thousand dollars if the collaborator’s institution is among the top 20 institutions in the faculty member’s field. The application for CREATE must be completed at least two months prior to the proposed collaboration. Upon final approval, the office for Faculty Success will notify the applicant, Department Chair and Dean as well as the Office of Academic Resources.</w:t>
      </w:r>
    </w:p>
    <w:p w:rsidR="00CF30DA" w:rsidRDefault="00CF30DA" w:rsidP="00CF30DA">
      <w:r>
        <w:t>The assistant professor awarded should work with the department to make travel arrangements or other necessary expend</w:t>
      </w:r>
      <w:r w:rsidRPr="00226008">
        <w:t xml:space="preserve">itures.  </w:t>
      </w:r>
      <w:r w:rsidRPr="00CD6E12">
        <w:t>Requests for reimbursement should be routed from the department to the office of Faculty Success.</w:t>
      </w:r>
      <w:r>
        <w:t xml:space="preserve"> </w:t>
      </w:r>
    </w:p>
    <w:p w:rsidR="00CF30DA" w:rsidRPr="0053240B" w:rsidRDefault="00CF30DA" w:rsidP="00CF30DA">
      <w:pPr>
        <w:rPr>
          <w:b/>
        </w:rPr>
      </w:pPr>
      <w:r w:rsidRPr="0053240B">
        <w:rPr>
          <w:b/>
        </w:rPr>
        <w:t>Allowable Expenses:</w:t>
      </w:r>
    </w:p>
    <w:p w:rsidR="00CF30DA" w:rsidRPr="0053240B" w:rsidRDefault="00CF30DA" w:rsidP="00CF30DA">
      <w:pPr>
        <w:pStyle w:val="ListParagraph"/>
        <w:numPr>
          <w:ilvl w:val="0"/>
          <w:numId w:val="6"/>
        </w:numPr>
        <w:rPr>
          <w:i/>
        </w:rPr>
      </w:pPr>
      <w:r w:rsidRPr="0053240B">
        <w:rPr>
          <w:i/>
        </w:rPr>
        <w:t>Travel to and from the CREATE stay location</w:t>
      </w:r>
    </w:p>
    <w:p w:rsidR="00CF30DA" w:rsidRPr="0053240B" w:rsidRDefault="00CF30DA" w:rsidP="00CF30DA">
      <w:pPr>
        <w:pStyle w:val="ListParagraph"/>
        <w:numPr>
          <w:ilvl w:val="0"/>
          <w:numId w:val="6"/>
        </w:numPr>
        <w:rPr>
          <w:i/>
        </w:rPr>
      </w:pPr>
      <w:r w:rsidRPr="0053240B">
        <w:rPr>
          <w:i/>
        </w:rPr>
        <w:t>Living expenses and incidental trip-related expenditures</w:t>
      </w:r>
    </w:p>
    <w:p w:rsidR="00CF30DA" w:rsidRPr="0053240B" w:rsidRDefault="00CF30DA" w:rsidP="00CF30DA">
      <w:pPr>
        <w:pStyle w:val="ListParagraph"/>
        <w:numPr>
          <w:ilvl w:val="1"/>
          <w:numId w:val="6"/>
        </w:numPr>
        <w:rPr>
          <w:i/>
        </w:rPr>
      </w:pPr>
      <w:r w:rsidRPr="0053240B">
        <w:rPr>
          <w:i/>
        </w:rPr>
        <w:t>With proper documentation</w:t>
      </w:r>
    </w:p>
    <w:p w:rsidR="00CF30DA" w:rsidRDefault="00CF30DA" w:rsidP="00CF30DA">
      <w:r>
        <w:t xml:space="preserve">*CREATE funds may </w:t>
      </w:r>
      <w:r w:rsidRPr="0053240B">
        <w:rPr>
          <w:b/>
        </w:rPr>
        <w:t>NOT</w:t>
      </w:r>
      <w:r>
        <w:t xml:space="preserve"> be used as a salary supplement. </w:t>
      </w:r>
    </w:p>
    <w:p w:rsidR="00CF30DA" w:rsidRDefault="00CF30DA" w:rsidP="00CF30DA">
      <w:r>
        <w:t xml:space="preserve">The expenses must be charged to the department and fund code 200-83001 or reimbursement to the department will not be made.  </w:t>
      </w:r>
    </w:p>
    <w:p w:rsidR="00CF30DA" w:rsidRDefault="00CF30DA" w:rsidP="00CF30DA">
      <w:r>
        <w:t>Any expenses that exceed the awarded amount may be supplemented by departmental funds at the discretion of the department Chair.</w:t>
      </w:r>
    </w:p>
    <w:p w:rsidR="00CF30DA" w:rsidRDefault="00CF30DA" w:rsidP="00CF30DA">
      <w:r>
        <w:t xml:space="preserve">Assistant professors utilizing CREATE Program funds are required to submit two reports to the Office for Faculty Success an </w:t>
      </w:r>
      <w:hyperlink r:id="rId16" w:history="1">
        <w:r w:rsidRPr="001D4AF7">
          <w:rPr>
            <w:rStyle w:val="Hyperlink"/>
          </w:rPr>
          <w:t>initial report</w:t>
        </w:r>
      </w:hyperlink>
      <w:r>
        <w:t xml:space="preserve"> due within 4 weeks of returning from the visit and </w:t>
      </w:r>
      <w:hyperlink r:id="rId17" w:history="1">
        <w:r w:rsidRPr="001D4AF7">
          <w:rPr>
            <w:rStyle w:val="Hyperlink"/>
          </w:rPr>
          <w:t>a final report</w:t>
        </w:r>
      </w:hyperlink>
      <w:r>
        <w:t xml:space="preserve"> due within a year of returning. </w:t>
      </w:r>
    </w:p>
    <w:p w:rsidR="00CF30DA" w:rsidRPr="002049E4" w:rsidRDefault="00CF30DA" w:rsidP="00CF30DA">
      <w:pPr>
        <w:rPr>
          <w:b/>
        </w:rPr>
      </w:pPr>
      <w:r w:rsidRPr="002049E4">
        <w:rPr>
          <w:b/>
        </w:rPr>
        <w:t>2.6 Start-Up</w:t>
      </w:r>
    </w:p>
    <w:p w:rsidR="00CF30DA" w:rsidRDefault="00CF30DA" w:rsidP="00CF30DA">
      <w:r>
        <w:t>Start-Up funds will be outlined in the final offer letter received by the faculty member before employment begins.</w:t>
      </w:r>
    </w:p>
    <w:p w:rsidR="00CF30DA" w:rsidRDefault="00CF30DA" w:rsidP="00CF30DA">
      <w:r>
        <w:t xml:space="preserve">The funds and the responsible parties for those funds are maintained on the Faculty Start-up master list in the office of VPAA. </w:t>
      </w:r>
    </w:p>
    <w:p w:rsidR="00CF30DA" w:rsidRDefault="00CF30DA" w:rsidP="00CF30DA">
      <w:r>
        <w:t xml:space="preserve">Start-up expenditures are made on a reimbursement basis. Start-up expenditures may lead to a deficit until reimbursement is made. An override will be required, when a purchase is made, or an expense is incurred by the faculty member that needs to be expensed against the start-up fund. Overrides will need to be approved by </w:t>
      </w:r>
      <w:hyperlink r:id="rId18" w:history="1">
        <w:r w:rsidRPr="006056D7">
          <w:rPr>
            <w:rStyle w:val="Hyperlink"/>
          </w:rPr>
          <w:t>Dilana.king@unt.edu</w:t>
        </w:r>
      </w:hyperlink>
      <w:r>
        <w:t xml:space="preserve"> </w:t>
      </w:r>
    </w:p>
    <w:p w:rsidR="00CF30DA" w:rsidRDefault="00CF30DA" w:rsidP="00CF30DA">
      <w:r>
        <w:t xml:space="preserve">The override will create a deficit in the chartstring under the department with the faculty member project ID. </w:t>
      </w:r>
      <w:r w:rsidR="00A6612A" w:rsidRPr="00A6612A">
        <w:rPr>
          <w:b/>
          <w:u w:val="single"/>
        </w:rPr>
        <w:t>Make sure that a faculty member project ID is used on all expenses for start-up</w:t>
      </w:r>
      <w:r w:rsidR="00A6612A">
        <w:t xml:space="preserve">. </w:t>
      </w:r>
      <w:r>
        <w:t>The budget officer will need to track these expenses to ensure the faculty member does not overspend on the available funds.</w:t>
      </w:r>
    </w:p>
    <w:p w:rsidR="00CF30DA" w:rsidRDefault="00CF30DA" w:rsidP="00CF30DA">
      <w:r>
        <w:t xml:space="preserve">During the fiscal year end process, the budget officer/administrative personnel will need to provide the VPAA office with a total of all incurred expenses for a faculty member against the Start-up funds; at that time monies will be transferred from the start-up lines to cover the chartstring org </w:t>
      </w:r>
      <w:r w:rsidR="00FC0EC7">
        <w:t>department’s</w:t>
      </w:r>
      <w:r>
        <w:t xml:space="preserve"> deficit.</w:t>
      </w:r>
    </w:p>
    <w:p w:rsidR="00CF30DA" w:rsidRPr="002049E4" w:rsidRDefault="00CF30DA" w:rsidP="00CF30DA">
      <w:pPr>
        <w:rPr>
          <w:b/>
        </w:rPr>
      </w:pPr>
      <w:r w:rsidRPr="002049E4">
        <w:rPr>
          <w:b/>
        </w:rPr>
        <w:t>2.7 Waitlisted Courses</w:t>
      </w:r>
    </w:p>
    <w:p w:rsidR="00CF30DA" w:rsidRPr="00676CF0" w:rsidRDefault="00CF30DA" w:rsidP="00CF30DA">
      <w:pPr>
        <w:rPr>
          <w:color w:val="FF0000"/>
        </w:rPr>
      </w:pPr>
      <w:r w:rsidRPr="00676CF0">
        <w:rPr>
          <w:color w:val="FF0000"/>
        </w:rPr>
        <w:t>SUBJECT TO CHANGE</w:t>
      </w:r>
    </w:p>
    <w:p w:rsidR="00CF30DA" w:rsidRPr="00676CF0" w:rsidRDefault="00CF30DA" w:rsidP="00CF30DA">
      <w:r w:rsidRPr="00676CF0">
        <w:t>Requests for funding of waitlisted co</w:t>
      </w:r>
      <w:r>
        <w:t>urses is generally made by the Dean or A</w:t>
      </w:r>
      <w:r w:rsidRPr="00676CF0">
        <w:t>cademi</w:t>
      </w:r>
      <w:r>
        <w:t>c A</w:t>
      </w:r>
      <w:r w:rsidRPr="00676CF0">
        <w:t xml:space="preserve">ssociate Dean. </w:t>
      </w:r>
    </w:p>
    <w:p w:rsidR="00CF30DA" w:rsidRPr="00676CF0" w:rsidRDefault="00CF30DA" w:rsidP="00CF30DA">
      <w:r w:rsidRPr="00676CF0">
        <w:t>Requests for this funding should be directed to the Vice Provost for Academic Affairs Christy Crutsinger. Included in the request should be the following information:</w:t>
      </w:r>
    </w:p>
    <w:p w:rsidR="00CF30DA" w:rsidRPr="00676CF0" w:rsidRDefault="00CF30DA" w:rsidP="00CF30DA">
      <w:pPr>
        <w:pStyle w:val="ListParagraph"/>
        <w:numPr>
          <w:ilvl w:val="0"/>
          <w:numId w:val="7"/>
        </w:numPr>
      </w:pPr>
      <w:r w:rsidRPr="00676CF0">
        <w:t>Department and requestors information</w:t>
      </w:r>
    </w:p>
    <w:p w:rsidR="00CF30DA" w:rsidRPr="00676CF0" w:rsidRDefault="00CF30DA" w:rsidP="00CF30DA">
      <w:pPr>
        <w:pStyle w:val="ListParagraph"/>
        <w:numPr>
          <w:ilvl w:val="0"/>
          <w:numId w:val="7"/>
        </w:numPr>
      </w:pPr>
      <w:r w:rsidRPr="00676CF0">
        <w:t>Justification for needed course</w:t>
      </w:r>
    </w:p>
    <w:p w:rsidR="00CF30DA" w:rsidRPr="00676CF0" w:rsidRDefault="00CF30DA" w:rsidP="00CF30DA">
      <w:pPr>
        <w:pStyle w:val="ListParagraph"/>
        <w:numPr>
          <w:ilvl w:val="0"/>
          <w:numId w:val="7"/>
        </w:numPr>
      </w:pPr>
      <w:r w:rsidRPr="00676CF0">
        <w:t>Chartstring for credited funds</w:t>
      </w:r>
    </w:p>
    <w:p w:rsidR="00CF30DA" w:rsidRPr="00676CF0" w:rsidRDefault="00CF30DA" w:rsidP="00CF30DA">
      <w:r w:rsidRPr="00676CF0">
        <w:t>All waitlisted course funds are fund category 105</w:t>
      </w:r>
      <w:r>
        <w:t xml:space="preserve">. The department must verify the proper fund categories and fund combinations prior to entering an ePAR to ensure reimbursement will be made. </w:t>
      </w:r>
    </w:p>
    <w:p w:rsidR="00CF30DA" w:rsidRPr="00676CF0" w:rsidRDefault="00CF30DA" w:rsidP="00CF30DA">
      <w:r w:rsidRPr="00676CF0">
        <w:t>*questions regarding the fund c</w:t>
      </w:r>
      <w:r>
        <w:t>ategory if department faculty is ordinarily</w:t>
      </w:r>
      <w:r w:rsidRPr="00676CF0">
        <w:t xml:space="preserve"> paid from fund category 200 should be addressed to the Vice Provost for Academic Affairs </w:t>
      </w:r>
      <w:hyperlink r:id="rId19" w:history="1">
        <w:r w:rsidRPr="0028325F">
          <w:rPr>
            <w:rStyle w:val="Hyperlink"/>
          </w:rPr>
          <w:t>Christy Crutsinger</w:t>
        </w:r>
      </w:hyperlink>
      <w:r w:rsidRPr="00676CF0">
        <w:t>.</w:t>
      </w:r>
    </w:p>
    <w:p w:rsidR="00CF30DA" w:rsidRDefault="00CF30DA" w:rsidP="00CF30DA">
      <w:pPr>
        <w:rPr>
          <w:b/>
        </w:rPr>
      </w:pPr>
      <w:r w:rsidRPr="002049E4">
        <w:rPr>
          <w:b/>
        </w:rPr>
        <w:t>2.8 Promotions</w:t>
      </w:r>
    </w:p>
    <w:p w:rsidR="00CF30DA" w:rsidRDefault="00CF30DA" w:rsidP="00CF30DA">
      <w:r>
        <w:t xml:space="preserve">Budget for salaries for promotions –The Provost Office will initiate </w:t>
      </w:r>
      <w:r w:rsidRPr="00676CF0">
        <w:rPr>
          <w:b/>
        </w:rPr>
        <w:t>all ePAR’s</w:t>
      </w:r>
      <w:r>
        <w:t xml:space="preserve"> that implement title changes and/or salary increases relating to promotion or faculty honorariums and </w:t>
      </w:r>
      <w:r w:rsidRPr="00A76606">
        <w:t>chair augmentations.</w:t>
      </w:r>
    </w:p>
    <w:p w:rsidR="00CF30DA" w:rsidRDefault="00CF30DA" w:rsidP="00CF30DA">
      <w:r>
        <w:t>Standard Faculty Promotion Salary Increases are as follows:</w:t>
      </w:r>
    </w:p>
    <w:p w:rsidR="00CF30DA" w:rsidRDefault="00CF30DA" w:rsidP="00CF30DA">
      <w:pPr>
        <w:pStyle w:val="ListParagraph"/>
        <w:numPr>
          <w:ilvl w:val="0"/>
          <w:numId w:val="30"/>
        </w:numPr>
      </w:pPr>
      <w:r>
        <w:t>Assistant Professor to Associate Professor</w:t>
      </w:r>
      <w:r>
        <w:tab/>
      </w:r>
      <w:r>
        <w:tab/>
      </w:r>
      <w:r>
        <w:tab/>
        <w:t>$3,500</w:t>
      </w:r>
    </w:p>
    <w:p w:rsidR="00CF30DA" w:rsidRDefault="00CF30DA" w:rsidP="00CF30DA">
      <w:pPr>
        <w:pStyle w:val="ListParagraph"/>
        <w:numPr>
          <w:ilvl w:val="0"/>
          <w:numId w:val="30"/>
        </w:numPr>
      </w:pPr>
      <w:r>
        <w:t>Associate Professor to Professor</w:t>
      </w:r>
      <w:r>
        <w:tab/>
      </w:r>
      <w:r>
        <w:tab/>
      </w:r>
      <w:r>
        <w:tab/>
      </w:r>
      <w:r>
        <w:tab/>
        <w:t>$4,700</w:t>
      </w:r>
    </w:p>
    <w:p w:rsidR="00CF30DA" w:rsidRDefault="00CF30DA" w:rsidP="00CF30DA">
      <w:pPr>
        <w:pStyle w:val="ListParagraph"/>
        <w:numPr>
          <w:ilvl w:val="0"/>
          <w:numId w:val="30"/>
        </w:numPr>
      </w:pPr>
      <w:r>
        <w:t>Assistant Clinical Professor to Associate Clinical Professor</w:t>
      </w:r>
      <w:r>
        <w:tab/>
        <w:t>$2,500</w:t>
      </w:r>
    </w:p>
    <w:p w:rsidR="00CF30DA" w:rsidRDefault="00CF30DA" w:rsidP="00CF30DA">
      <w:pPr>
        <w:pStyle w:val="ListParagraph"/>
        <w:numPr>
          <w:ilvl w:val="0"/>
          <w:numId w:val="30"/>
        </w:numPr>
      </w:pPr>
      <w:r>
        <w:t>Associate Clinical Professor to Clinical Professor</w:t>
      </w:r>
      <w:r>
        <w:tab/>
      </w:r>
      <w:r>
        <w:tab/>
      </w:r>
      <w:r>
        <w:tab/>
        <w:t>$3,700</w:t>
      </w:r>
    </w:p>
    <w:p w:rsidR="00CF30DA" w:rsidRDefault="00CF30DA" w:rsidP="00CF30DA">
      <w:pPr>
        <w:pStyle w:val="ListParagraph"/>
        <w:numPr>
          <w:ilvl w:val="0"/>
          <w:numId w:val="30"/>
        </w:numPr>
      </w:pPr>
      <w:r>
        <w:t>Lecturer to Sr. Lecturer</w:t>
      </w:r>
      <w:r>
        <w:tab/>
      </w:r>
      <w:r>
        <w:tab/>
      </w:r>
      <w:r>
        <w:tab/>
      </w:r>
      <w:r>
        <w:tab/>
      </w:r>
      <w:r>
        <w:tab/>
      </w:r>
      <w:r>
        <w:tab/>
        <w:t>$2,500</w:t>
      </w:r>
    </w:p>
    <w:p w:rsidR="00CF30DA" w:rsidRDefault="00CF30DA" w:rsidP="00CF30DA">
      <w:pPr>
        <w:pStyle w:val="ListParagraph"/>
        <w:numPr>
          <w:ilvl w:val="0"/>
          <w:numId w:val="30"/>
        </w:numPr>
      </w:pPr>
      <w:r>
        <w:t>Senior Lecturer to Principal Lecturer</w:t>
      </w:r>
      <w:r>
        <w:tab/>
      </w:r>
      <w:r>
        <w:tab/>
      </w:r>
      <w:r>
        <w:tab/>
      </w:r>
      <w:r>
        <w:tab/>
        <w:t>$3,700</w:t>
      </w:r>
    </w:p>
    <w:p w:rsidR="00CF30DA" w:rsidRDefault="00CF30DA" w:rsidP="00CF30DA">
      <w:pPr>
        <w:pStyle w:val="ListParagraph"/>
        <w:numPr>
          <w:ilvl w:val="0"/>
          <w:numId w:val="30"/>
        </w:numPr>
      </w:pPr>
      <w:r>
        <w:t>Regents Professor</w:t>
      </w:r>
      <w:r>
        <w:tab/>
      </w:r>
      <w:r>
        <w:tab/>
      </w:r>
      <w:r>
        <w:tab/>
      </w:r>
      <w:r>
        <w:tab/>
      </w:r>
      <w:r>
        <w:tab/>
      </w:r>
      <w:r>
        <w:tab/>
        <w:t>$7,500</w:t>
      </w:r>
    </w:p>
    <w:p w:rsidR="00CF30DA" w:rsidRDefault="00CF30DA" w:rsidP="00CF30DA">
      <w:pPr>
        <w:pStyle w:val="ListParagraph"/>
        <w:numPr>
          <w:ilvl w:val="0"/>
          <w:numId w:val="30"/>
        </w:numPr>
      </w:pPr>
      <w:r>
        <w:t>Distinguished teaching Professor</w:t>
      </w:r>
      <w:r>
        <w:tab/>
      </w:r>
      <w:r>
        <w:tab/>
      </w:r>
      <w:r>
        <w:tab/>
      </w:r>
      <w:r>
        <w:tab/>
        <w:t>$5,000</w:t>
      </w:r>
    </w:p>
    <w:p w:rsidR="00CF30DA" w:rsidRDefault="00CF30DA" w:rsidP="00CF30DA">
      <w:pPr>
        <w:pStyle w:val="ListParagraph"/>
        <w:numPr>
          <w:ilvl w:val="0"/>
          <w:numId w:val="30"/>
        </w:numPr>
      </w:pPr>
      <w:r>
        <w:t>Distinguished Research Professor</w:t>
      </w:r>
      <w:r>
        <w:tab/>
      </w:r>
      <w:r>
        <w:tab/>
      </w:r>
      <w:r>
        <w:tab/>
      </w:r>
      <w:r>
        <w:tab/>
        <w:t>$5,000</w:t>
      </w:r>
    </w:p>
    <w:p w:rsidR="00CF30DA" w:rsidRDefault="00CF30DA" w:rsidP="00CF30DA">
      <w:r>
        <w:t xml:space="preserve">Tenure and promotions forms are located on the </w:t>
      </w:r>
      <w:hyperlink r:id="rId20" w:history="1">
        <w:r w:rsidRPr="00B772DD">
          <w:rPr>
            <w:rStyle w:val="Hyperlink"/>
          </w:rPr>
          <w:t>Office for Faulty Success</w:t>
        </w:r>
      </w:hyperlink>
      <w:r>
        <w:t xml:space="preserve"> website.</w:t>
      </w:r>
    </w:p>
    <w:p w:rsidR="00CF30DA" w:rsidRPr="009112D1" w:rsidRDefault="00CF30DA" w:rsidP="00CF30DA">
      <w:r>
        <w:t>College Deans or Department Chairs will receive memos from the Provost Office concerning the deadlines for faculty promotion and tenure prior to the due dates.</w:t>
      </w:r>
    </w:p>
    <w:p w:rsidR="00CF30DA" w:rsidRDefault="00CF30DA" w:rsidP="00CF30DA">
      <w:pPr>
        <w:rPr>
          <w:b/>
        </w:rPr>
      </w:pPr>
      <w:r>
        <w:rPr>
          <w:b/>
        </w:rPr>
        <w:t>2.9 Chair Augmentations</w:t>
      </w:r>
    </w:p>
    <w:p w:rsidR="009A2C6A" w:rsidRDefault="00CF30DA" w:rsidP="00CF30DA">
      <w:r>
        <w:t xml:space="preserve">Chairs will receive a salary augmentation for their appointment. The augmentation is based on the number of full-time faculty in each department. The Provost Office will verify faculty head count each August in case adjustments are needed for the next fiscal year. The augmentation is only applied to the chair’s salary during the period of service. </w:t>
      </w:r>
    </w:p>
    <w:p w:rsidR="00CF30DA" w:rsidRDefault="00CF30DA" w:rsidP="00CF30DA">
      <w:r>
        <w:t>Augmentation Amounts are as follows:</w:t>
      </w:r>
    </w:p>
    <w:p w:rsidR="00CF30DA" w:rsidRDefault="00CF30DA" w:rsidP="00CF30DA">
      <w:pPr>
        <w:pStyle w:val="ListParagraph"/>
        <w:numPr>
          <w:ilvl w:val="0"/>
          <w:numId w:val="31"/>
        </w:numPr>
      </w:pPr>
      <w:r>
        <w:t>Departments with 2-10 full-time faculty - $400/month or $4,800 per year.</w:t>
      </w:r>
    </w:p>
    <w:p w:rsidR="00CF30DA" w:rsidRDefault="00CF30DA" w:rsidP="00CF30DA">
      <w:pPr>
        <w:pStyle w:val="ListParagraph"/>
        <w:numPr>
          <w:ilvl w:val="0"/>
          <w:numId w:val="31"/>
        </w:numPr>
      </w:pPr>
      <w:r>
        <w:t>Departments with 11-20 Full-time faculty - $500/month or $6,000 per year.</w:t>
      </w:r>
    </w:p>
    <w:p w:rsidR="00CF30DA" w:rsidRDefault="00CF30DA" w:rsidP="00CF30DA">
      <w:pPr>
        <w:pStyle w:val="ListParagraph"/>
        <w:numPr>
          <w:ilvl w:val="0"/>
          <w:numId w:val="31"/>
        </w:numPr>
      </w:pPr>
      <w:r>
        <w:t>Departments with 21-30 Full-time faculty - $600/month or $7,200 per year.</w:t>
      </w:r>
    </w:p>
    <w:p w:rsidR="00CF30DA" w:rsidRDefault="00CF30DA" w:rsidP="00CF30DA">
      <w:pPr>
        <w:pStyle w:val="ListParagraph"/>
        <w:numPr>
          <w:ilvl w:val="0"/>
          <w:numId w:val="31"/>
        </w:numPr>
      </w:pPr>
      <w:r>
        <w:t>Departments with 31+ full-time faculty - $700/month or $8,400 per year</w:t>
      </w:r>
    </w:p>
    <w:p w:rsidR="00CF30DA" w:rsidRPr="00C2190F" w:rsidRDefault="00CF30DA" w:rsidP="00CF30DA">
      <w:r w:rsidRPr="00E94203">
        <w:rPr>
          <w:i/>
        </w:rPr>
        <w:t>*Augmentation levels will be reviewed annually by the Provost’s Office for suitability</w:t>
      </w:r>
      <w:r>
        <w:t xml:space="preserve">. </w:t>
      </w:r>
    </w:p>
    <w:p w:rsidR="00CF30DA" w:rsidRDefault="00CF30DA" w:rsidP="00CF30DA">
      <w:pPr>
        <w:rPr>
          <w:b/>
        </w:rPr>
      </w:pPr>
      <w:r>
        <w:rPr>
          <w:b/>
        </w:rPr>
        <w:t>2.10</w:t>
      </w:r>
      <w:r w:rsidRPr="002049E4">
        <w:rPr>
          <w:b/>
        </w:rPr>
        <w:t xml:space="preserve"> Honors</w:t>
      </w:r>
    </w:p>
    <w:p w:rsidR="00CF30DA" w:rsidRDefault="00CF30DA" w:rsidP="00CF30DA">
      <w:r>
        <w:t xml:space="preserve">The Provost Office reimburses Honors classes taught in the colleges. The Honors College will provide the Provost office with a list each semester of all Honors classes taught in the colleges and the chart strings to provide funding reimbursement. </w:t>
      </w:r>
    </w:p>
    <w:p w:rsidR="009A5F68" w:rsidRDefault="009A5F68" w:rsidP="00CF30DA">
      <w:r>
        <w:t xml:space="preserve">Reimbursements will come from fund 800001 for honors classes. </w:t>
      </w:r>
    </w:p>
    <w:p w:rsidR="00CF30DA" w:rsidRPr="001E4CF3" w:rsidRDefault="00CF30DA" w:rsidP="00CF30DA">
      <w:r>
        <w:t xml:space="preserve">Budget officers should contact </w:t>
      </w:r>
      <w:hyperlink r:id="rId21" w:history="1">
        <w:r w:rsidRPr="00586CB9">
          <w:rPr>
            <w:rStyle w:val="Hyperlink"/>
          </w:rPr>
          <w:t>Dilana.King@unt.edu</w:t>
        </w:r>
      </w:hyperlink>
      <w:r>
        <w:t xml:space="preserve"> for questions regarding the reimbursement of funds for honors classes. For course information or clarification of courses on the honors list, budget officers should contact the Honors College. </w:t>
      </w:r>
    </w:p>
    <w:p w:rsidR="00CF30DA" w:rsidRDefault="00CF30DA" w:rsidP="00CF30DA">
      <w:pPr>
        <w:rPr>
          <w:b/>
        </w:rPr>
      </w:pPr>
    </w:p>
    <w:p w:rsidR="00CF30DA" w:rsidRDefault="00CF30DA" w:rsidP="00CF30DA">
      <w:pPr>
        <w:rPr>
          <w:b/>
        </w:rPr>
      </w:pPr>
      <w:r w:rsidRPr="002049E4">
        <w:rPr>
          <w:b/>
        </w:rPr>
        <w:t>3.0 Faculty Additional pay</w:t>
      </w:r>
    </w:p>
    <w:p w:rsidR="00CF30DA" w:rsidRDefault="00CF30DA" w:rsidP="00CF30DA">
      <w:pPr>
        <w:rPr>
          <w:i/>
          <w:u w:val="single"/>
        </w:rPr>
      </w:pPr>
      <w:r w:rsidRPr="00CD7569">
        <w:rPr>
          <w:i/>
        </w:rPr>
        <w:t>*</w:t>
      </w:r>
      <w:r w:rsidRPr="00CD7569">
        <w:rPr>
          <w:i/>
          <w:u w:val="single"/>
        </w:rPr>
        <w:t>Tasks or Augmentations that exceed six months will need Presidential approval.</w:t>
      </w:r>
    </w:p>
    <w:p w:rsidR="00CF30DA" w:rsidRDefault="00CF30DA" w:rsidP="00CF30DA">
      <w:pPr>
        <w:rPr>
          <w:b/>
        </w:rPr>
      </w:pPr>
      <w:r w:rsidRPr="002049E4">
        <w:rPr>
          <w:b/>
        </w:rPr>
        <w:t>3.1 Tasks</w:t>
      </w:r>
    </w:p>
    <w:p w:rsidR="00CF30DA" w:rsidRDefault="00CF30DA" w:rsidP="00CF30DA">
      <w:r>
        <w:t xml:space="preserve">Task payments are additional compensation paid to an exempt employee for work based on completion of a task assignment. Non-exempt employees are not eligible for task payments. </w:t>
      </w:r>
    </w:p>
    <w:p w:rsidR="00CF30DA" w:rsidRDefault="00CF30DA" w:rsidP="00CF30DA">
      <w:r>
        <w:t xml:space="preserve">Task payments are restricted to one-time services or projects with a specified duration. The payment is compensation for performing the task assignment. </w:t>
      </w:r>
    </w:p>
    <w:p w:rsidR="00CF30DA" w:rsidRDefault="00CF30DA" w:rsidP="00CF30DA">
      <w:r>
        <w:t xml:space="preserve">Payments must be approved in writing prior to the start of the assignment. A Dean must request a task payment by email to the Provost prior to submitting the paperwork requested below. </w:t>
      </w:r>
    </w:p>
    <w:p w:rsidR="00CF30DA" w:rsidRDefault="00CF30DA" w:rsidP="00CF30DA">
      <w:r>
        <w:t xml:space="preserve">Approval comes from Human Resources, The Office of the Provost and the VP for Academic Affairs. When applicable the President may also need to approve. The </w:t>
      </w:r>
      <w:hyperlink r:id="rId22" w:history="1">
        <w:r w:rsidRPr="00A575CD">
          <w:rPr>
            <w:rStyle w:val="Hyperlink"/>
          </w:rPr>
          <w:t>UPO- 11B</w:t>
        </w:r>
      </w:hyperlink>
      <w:r>
        <w:t xml:space="preserve"> form must be filled out and processed for all task payments for faculty and the </w:t>
      </w:r>
      <w:hyperlink r:id="rId23" w:history="1">
        <w:r w:rsidRPr="00A575CD">
          <w:rPr>
            <w:rStyle w:val="Hyperlink"/>
          </w:rPr>
          <w:t>HRM-11</w:t>
        </w:r>
      </w:hyperlink>
      <w:r>
        <w:t xml:space="preserve"> must be filled out for all Staff task payments.  </w:t>
      </w:r>
    </w:p>
    <w:p w:rsidR="00CF30DA" w:rsidRDefault="00CF30DA" w:rsidP="00CF30DA">
      <w:r>
        <w:t xml:space="preserve">In addition, faculty task payments must be </w:t>
      </w:r>
      <w:hyperlink r:id="rId24" w:history="1">
        <w:r w:rsidRPr="00C41BA6">
          <w:rPr>
            <w:rStyle w:val="Hyperlink"/>
          </w:rPr>
          <w:t>certified</w:t>
        </w:r>
      </w:hyperlink>
      <w:r>
        <w:t xml:space="preserve"> at the completion of the assignment. </w:t>
      </w:r>
    </w:p>
    <w:p w:rsidR="00CF30DA" w:rsidRDefault="00CF30DA" w:rsidP="00CF30DA">
      <w:pPr>
        <w:rPr>
          <w:b/>
        </w:rPr>
      </w:pPr>
      <w:r>
        <w:rPr>
          <w:b/>
        </w:rPr>
        <w:t>3.2 Augmentations</w:t>
      </w:r>
    </w:p>
    <w:p w:rsidR="00CF30DA" w:rsidRDefault="00CF30DA" w:rsidP="00CF30DA">
      <w:r>
        <w:t xml:space="preserve">Augmentation pay is compensation that is in addition to, separate from, and does not affect an employee’s base salary rate for performing a temporary assignment of duties usually assigned to a higher pay classification than the employee’s regular position.  Only exempt employees are eligible for an augmentation </w:t>
      </w:r>
    </w:p>
    <w:p w:rsidR="00CF30DA" w:rsidRDefault="00CF30DA" w:rsidP="00CF30DA">
      <w:r>
        <w:t xml:space="preserve">Payments must be approved in writing prior to the start of the assignment by Human Resources, Academic Resources, Office of the Provost and VP for Academic Affairs. When applicable the President may also need to approve. </w:t>
      </w:r>
    </w:p>
    <w:p w:rsidR="00CF30DA" w:rsidRDefault="00CB450E" w:rsidP="00CF30DA">
      <w:hyperlink r:id="rId25" w:history="1">
        <w:r w:rsidR="00CF30DA" w:rsidRPr="00A575CD">
          <w:rPr>
            <w:rStyle w:val="Hyperlink"/>
          </w:rPr>
          <w:t>UPO- 11B</w:t>
        </w:r>
      </w:hyperlink>
      <w:r w:rsidR="00CF30DA">
        <w:t xml:space="preserve"> form must be filled out and processed for all Augmentation payments for faculty and the </w:t>
      </w:r>
      <w:hyperlink r:id="rId26" w:history="1">
        <w:r w:rsidR="00CF30DA" w:rsidRPr="00A575CD">
          <w:rPr>
            <w:rStyle w:val="Hyperlink"/>
          </w:rPr>
          <w:t>HRM-11</w:t>
        </w:r>
      </w:hyperlink>
      <w:r w:rsidR="00CF30DA">
        <w:t xml:space="preserve"> must be filled out for all Staff augmentation payments.  </w:t>
      </w:r>
    </w:p>
    <w:p w:rsidR="00CF30DA" w:rsidRDefault="00CF30DA" w:rsidP="00CF30DA">
      <w:r>
        <w:t xml:space="preserve">Payments must be a minimum of 6 weeks and shall not exceed 20% of the employee’s regular base salary or exceed 6 months in duration.  Faculty augmentations payments must be </w:t>
      </w:r>
      <w:hyperlink r:id="rId27" w:history="1">
        <w:r w:rsidRPr="00C41BA6">
          <w:rPr>
            <w:rStyle w:val="Hyperlink"/>
          </w:rPr>
          <w:t>certified</w:t>
        </w:r>
      </w:hyperlink>
      <w:r>
        <w:t xml:space="preserve"> at the end of the augmentation period. </w:t>
      </w:r>
    </w:p>
    <w:p w:rsidR="00CF30DA" w:rsidRDefault="00CF30DA" w:rsidP="00CF30DA">
      <w:r>
        <w:t xml:space="preserve">Assignments exceeding 6 months in duration must be approved by Human Resources, the appropriate Vice President and the President. </w:t>
      </w:r>
    </w:p>
    <w:p w:rsidR="00CF30DA" w:rsidRPr="00CD7569" w:rsidRDefault="00CF30DA" w:rsidP="00CF30DA">
      <w:pPr>
        <w:rPr>
          <w:i/>
        </w:rPr>
      </w:pPr>
      <w:r>
        <w:rPr>
          <w:i/>
          <w:u w:val="single"/>
        </w:rPr>
        <w:t>*VPAA will manage the augmentation process for Department Chairs who receive an Augmentation.</w:t>
      </w:r>
    </w:p>
    <w:p w:rsidR="00CF30DA" w:rsidRDefault="00CF30DA" w:rsidP="00CF30DA">
      <w:pPr>
        <w:rPr>
          <w:b/>
        </w:rPr>
      </w:pPr>
      <w:r>
        <w:rPr>
          <w:b/>
        </w:rPr>
        <w:t xml:space="preserve">3.3 </w:t>
      </w:r>
      <w:r w:rsidRPr="006358BD">
        <w:rPr>
          <w:b/>
        </w:rPr>
        <w:t>Endowed Professorships</w:t>
      </w:r>
      <w:r>
        <w:rPr>
          <w:b/>
        </w:rPr>
        <w:t>/Chairs</w:t>
      </w:r>
    </w:p>
    <w:p w:rsidR="00CF30DA" w:rsidRDefault="00CF30DA" w:rsidP="00CF30DA">
      <w:r>
        <w:t xml:space="preserve">The guidelines for allowable endowment expenditures will be outlined in the Memorandum of Understanding (MOU) housed in the Foundation office. </w:t>
      </w:r>
    </w:p>
    <w:p w:rsidR="00CF30DA" w:rsidRDefault="00CF30DA" w:rsidP="00CF30DA">
      <w:r w:rsidRPr="003C27AB">
        <w:t xml:space="preserve">Endowed Professorships or Chair positions receiving additional compensation as a term of the endowment </w:t>
      </w:r>
      <w:r w:rsidR="00416FDD">
        <w:t>will need to be coded with an additional earnings code of Endowment on the ePAR</w:t>
      </w:r>
      <w:r w:rsidRPr="00436EFF">
        <w:t>. The notification of this salary supplement</w:t>
      </w:r>
      <w:r w:rsidRPr="007B02B0">
        <w:t xml:space="preserve"> will be outlined in the faculty member’s  offer letter.</w:t>
      </w:r>
      <w:r>
        <w:t xml:space="preserve"> </w:t>
      </w:r>
    </w:p>
    <w:p w:rsidR="009A2C6A" w:rsidRDefault="009A2C6A" w:rsidP="00CF30DA">
      <w:r>
        <w:t xml:space="preserve">The </w:t>
      </w:r>
      <w:hyperlink r:id="rId28" w:history="1">
        <w:r w:rsidRPr="006E4AF1">
          <w:rPr>
            <w:rStyle w:val="Hyperlink"/>
          </w:rPr>
          <w:t>VPAA 11-C</w:t>
        </w:r>
      </w:hyperlink>
      <w:r>
        <w:t xml:space="preserve"> will need to be completed for all endowe</w:t>
      </w:r>
      <w:r w:rsidR="00416FDD">
        <w:t xml:space="preserve">d chair or professor positions and an MOU will need to be attached. Endowments that exceed 6 months will need to be approved by the President. </w:t>
      </w:r>
    </w:p>
    <w:p w:rsidR="00CF30DA" w:rsidRDefault="00CF30DA" w:rsidP="00CF30DA">
      <w:r>
        <w:t xml:space="preserve">A dedicated UNT chart string will be needed to make the distribution from the endowment. In order to obtain this chart string please fill out the </w:t>
      </w:r>
      <w:hyperlink r:id="rId29" w:history="1">
        <w:r w:rsidRPr="00215316">
          <w:rPr>
            <w:rStyle w:val="Hyperlink"/>
          </w:rPr>
          <w:t>Chartfield Setup/Change Form</w:t>
        </w:r>
      </w:hyperlink>
      <w:r>
        <w:t xml:space="preserve"> and attached a copy of the fully executed MOU. On the Chart String request form, please indicate that this will be for a distribution for the specified foundation account and the foundation account number. Email the completed form and MOU to </w:t>
      </w:r>
      <w:hyperlink r:id="rId30" w:history="1">
        <w:r w:rsidRPr="0099543E">
          <w:rPr>
            <w:rStyle w:val="Hyperlink"/>
          </w:rPr>
          <w:t>Brenda.Cates@unt.edu</w:t>
        </w:r>
      </w:hyperlink>
      <w:r>
        <w:t xml:space="preserve"> </w:t>
      </w:r>
    </w:p>
    <w:p w:rsidR="00CF30DA" w:rsidRDefault="00CF30DA" w:rsidP="00CF30DA">
      <w:r>
        <w:t>The fund category for endowed professorships or chairs would be as follows:</w:t>
      </w:r>
    </w:p>
    <w:p w:rsidR="00CF30DA" w:rsidRDefault="00CF30DA" w:rsidP="00CF30DA">
      <w:r>
        <w:t>Fund Cat 303 – restr expendable for funds not held by UNT but held by foundation.</w:t>
      </w:r>
    </w:p>
    <w:p w:rsidR="00CF30DA" w:rsidRDefault="00CF30DA" w:rsidP="00CF30DA">
      <w:r>
        <w:t>Fund Cat 304-restr expendable projects – endowments for projects</w:t>
      </w:r>
    </w:p>
    <w:p w:rsidR="00CF30DA" w:rsidRDefault="00CF30DA" w:rsidP="00CF30DA">
      <w:r>
        <w:t>Fund Cat 307- restr true endowment spendable – funds held directly at UNT</w:t>
      </w:r>
    </w:p>
    <w:p w:rsidR="00CF30DA" w:rsidRDefault="00CF30DA" w:rsidP="00CF30DA">
      <w:r>
        <w:t>Fund Cat 309 – rest Quasi endowment spendable – for quasi endowments</w:t>
      </w:r>
    </w:p>
    <w:p w:rsidR="00CF30DA" w:rsidRDefault="00CF30DA" w:rsidP="00CF30DA">
      <w:r>
        <w:t xml:space="preserve">A new chart string will need to be set up and then sent to the foundation office for disbursement. The account holder or signature proxy must complete the </w:t>
      </w:r>
      <w:hyperlink r:id="rId31" w:history="1">
        <w:r w:rsidRPr="00B45040">
          <w:rPr>
            <w:rStyle w:val="Hyperlink"/>
          </w:rPr>
          <w:t>Disbursement Authorization form</w:t>
        </w:r>
      </w:hyperlink>
      <w:r>
        <w:t xml:space="preserve"> for the disbursement to occur. </w:t>
      </w:r>
    </w:p>
    <w:p w:rsidR="00CF30DA" w:rsidRPr="003C4923" w:rsidRDefault="00CF30DA" w:rsidP="00CF30DA">
      <w:pPr>
        <w:rPr>
          <w:b/>
        </w:rPr>
      </w:pPr>
      <w:r>
        <w:rPr>
          <w:b/>
        </w:rPr>
        <w:t>3.4</w:t>
      </w:r>
      <w:r w:rsidRPr="003C4923">
        <w:rPr>
          <w:b/>
        </w:rPr>
        <w:t xml:space="preserve"> Other Additional Pay</w:t>
      </w:r>
    </w:p>
    <w:p w:rsidR="00CF30DA" w:rsidRDefault="00CF30DA" w:rsidP="00CF30DA">
      <w:r>
        <w:t>Cell phone Allowance: Information regarding cell phone allowance in policy 14.006 section IV. The University will provide an allowance to regular retirement-eligible faculty and staff members for the use of a personal communication devices (PCD) if the employee has an official state business need for the device.</w:t>
      </w:r>
    </w:p>
    <w:p w:rsidR="00CF30DA" w:rsidRDefault="00CF30DA" w:rsidP="00CF30DA">
      <w:r>
        <w:t>Needs may include but are not limited to:</w:t>
      </w:r>
    </w:p>
    <w:p w:rsidR="00CF30DA" w:rsidRDefault="00CF30DA" w:rsidP="00CF30DA">
      <w:pPr>
        <w:pStyle w:val="ListParagraph"/>
        <w:numPr>
          <w:ilvl w:val="0"/>
          <w:numId w:val="29"/>
        </w:numPr>
      </w:pPr>
      <w:r>
        <w:t>Employees that travel regularly</w:t>
      </w:r>
    </w:p>
    <w:p w:rsidR="00CF30DA" w:rsidRDefault="00CF30DA" w:rsidP="00CF30DA">
      <w:pPr>
        <w:pStyle w:val="ListParagraph"/>
        <w:numPr>
          <w:ilvl w:val="0"/>
          <w:numId w:val="29"/>
        </w:numPr>
      </w:pPr>
      <w:r>
        <w:t>Employees that are out of the office frequently on University Business</w:t>
      </w:r>
    </w:p>
    <w:p w:rsidR="00CF30DA" w:rsidRDefault="00CF30DA" w:rsidP="00CF30DA">
      <w:pPr>
        <w:pStyle w:val="ListParagraph"/>
        <w:numPr>
          <w:ilvl w:val="0"/>
          <w:numId w:val="29"/>
        </w:numPr>
      </w:pPr>
      <w:r>
        <w:t>Employee uses the phone on job sites where wired phones are not available</w:t>
      </w:r>
    </w:p>
    <w:p w:rsidR="00CF30DA" w:rsidRDefault="00CF30DA" w:rsidP="00CF30DA">
      <w:pPr>
        <w:pStyle w:val="ListParagraph"/>
        <w:numPr>
          <w:ilvl w:val="0"/>
          <w:numId w:val="29"/>
        </w:numPr>
      </w:pPr>
      <w:r>
        <w:t>Employee is a member of key personnel who are needed in the event of an emergency</w:t>
      </w:r>
    </w:p>
    <w:p w:rsidR="00CF30DA" w:rsidRDefault="00CF30DA" w:rsidP="00CF30DA"/>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Default="00CF30DA" w:rsidP="00CF30DA">
      <w:pPr>
        <w:rPr>
          <w:b/>
        </w:rPr>
      </w:pPr>
    </w:p>
    <w:p w:rsidR="00CF30DA" w:rsidRPr="006175F4" w:rsidRDefault="00CF30DA" w:rsidP="00CF30DA">
      <w:pPr>
        <w:rPr>
          <w:b/>
        </w:rPr>
      </w:pPr>
      <w:r w:rsidRPr="006175F4">
        <w:rPr>
          <w:b/>
        </w:rPr>
        <w:t>Section 4: Formula Funding</w:t>
      </w:r>
    </w:p>
    <w:p w:rsidR="00CF30DA" w:rsidRDefault="00CF30DA" w:rsidP="00CF30DA">
      <w:r>
        <w:t>Formula funds are direct appropriations based on identified needs. There are two funding formula to be aware of.</w:t>
      </w:r>
    </w:p>
    <w:p w:rsidR="00CF30DA" w:rsidRDefault="00CF30DA" w:rsidP="00CF30DA">
      <w:pPr>
        <w:pStyle w:val="ListParagraph"/>
        <w:numPr>
          <w:ilvl w:val="0"/>
          <w:numId w:val="8"/>
        </w:numPr>
      </w:pPr>
      <w:r>
        <w:t>Instruction and Operations Formula</w:t>
      </w:r>
    </w:p>
    <w:p w:rsidR="00CF30DA" w:rsidRDefault="00CF30DA" w:rsidP="00CF30DA">
      <w:pPr>
        <w:pStyle w:val="ListParagraph"/>
        <w:numPr>
          <w:ilvl w:val="1"/>
          <w:numId w:val="8"/>
        </w:numPr>
      </w:pPr>
      <w:r>
        <w:t>Teaching experience Supplement</w:t>
      </w:r>
    </w:p>
    <w:p w:rsidR="00CF30DA" w:rsidRDefault="00CF30DA" w:rsidP="00CF30DA">
      <w:pPr>
        <w:pStyle w:val="ListParagraph"/>
        <w:numPr>
          <w:ilvl w:val="0"/>
          <w:numId w:val="8"/>
        </w:numPr>
      </w:pPr>
      <w:r>
        <w:t>Infrastructure Formula</w:t>
      </w:r>
    </w:p>
    <w:p w:rsidR="00CF30DA" w:rsidRDefault="00CF30DA" w:rsidP="00CF30DA">
      <w:pPr>
        <w:pStyle w:val="ListParagraph"/>
        <w:numPr>
          <w:ilvl w:val="1"/>
          <w:numId w:val="8"/>
        </w:numPr>
      </w:pPr>
      <w:r>
        <w:t>Small Institution Supplement</w:t>
      </w:r>
    </w:p>
    <w:p w:rsidR="00CF30DA" w:rsidRDefault="00CF30DA" w:rsidP="00CF30DA">
      <w:r>
        <w:t xml:space="preserve">Both formulas are driven either entirely or in part by semester credit hours taught. Teaching generates semester credit hours and that counts in generating most of the state formula funding, while important research and service missions generate virtually no direct formula funding. </w:t>
      </w:r>
    </w:p>
    <w:p w:rsidR="00CF30DA" w:rsidRDefault="00CF30DA" w:rsidP="00CF30DA">
      <w:r>
        <w:t xml:space="preserve">It is important to note that statutory tuition is a revenue source for the Instruction &amp; Operation formula; this means we must consider the impact of statutory tuition when analyzing net tuition changes. </w:t>
      </w:r>
    </w:p>
    <w:p w:rsidR="00CF30DA" w:rsidRDefault="00CF30DA" w:rsidP="00CF30DA">
      <w:r>
        <w:t>It is critical for the University to maximize the formula income and find creative ways to make the formulas work most efficiently for current and projected needs.</w:t>
      </w:r>
    </w:p>
    <w:p w:rsidR="00CF30DA" w:rsidRPr="00E3714B" w:rsidRDefault="00CF30DA" w:rsidP="00CF30DA">
      <w:r w:rsidRPr="00E3714B">
        <w:t>The 12-month period used to measure the SCH to be included in the appropriations formulas is the “base period”. It is the summer and fall of even numbered years and the spring of odd numbered years. This is used to give the most accurate data available when the legislature meets.</w:t>
      </w:r>
    </w:p>
    <w:p w:rsidR="00CF30DA" w:rsidRPr="00E3714B" w:rsidRDefault="00CF30DA" w:rsidP="00CF30DA">
      <w:r w:rsidRPr="00E3714B">
        <w:t>Base period SCH determines formula appropriations for the next two years. The funding received is based on the number of credit hours taught in the base period.</w:t>
      </w:r>
    </w:p>
    <w:p w:rsidR="00CF30DA" w:rsidRPr="00E3714B" w:rsidRDefault="00CF30DA" w:rsidP="00CF30DA">
      <w:r w:rsidRPr="00E3714B">
        <w:t xml:space="preserve">The credit hours are weighted to reflect the difference in cost related to teaching courses at different levels and in the different academic fields. </w:t>
      </w:r>
    </w:p>
    <w:p w:rsidR="00CF30DA" w:rsidRPr="00E3714B" w:rsidRDefault="00CF30DA" w:rsidP="00CF30DA">
      <w:r w:rsidRPr="00E3714B">
        <w:t>The formula would look like this</w:t>
      </w:r>
      <w:r>
        <w:t xml:space="preserve">: </w:t>
      </w:r>
      <w:r w:rsidRPr="00E3714B">
        <w:t xml:space="preserve"> </w:t>
      </w:r>
      <w:r w:rsidRPr="00BE3E94">
        <w:rPr>
          <w:i/>
        </w:rPr>
        <w:t>Semester Credit Hours (X) Program/Level Weight (x) Base Period rate</w:t>
      </w:r>
    </w:p>
    <w:p w:rsidR="00CF30DA" w:rsidRDefault="00CF30DA" w:rsidP="00CF30DA">
      <w:r>
        <w:t>All SCH weightings are displayed in the Formula Matrix. An example is shown below:</w:t>
      </w:r>
    </w:p>
    <w:p w:rsidR="00CF30DA" w:rsidRDefault="00CF30DA" w:rsidP="00CF30DA"/>
    <w:p w:rsidR="00CF30DA" w:rsidRDefault="00CF30DA" w:rsidP="00CF30DA"/>
    <w:p w:rsidR="00CF30DA" w:rsidRDefault="00CF30DA" w:rsidP="00CF30DA"/>
    <w:p w:rsidR="00CF30DA" w:rsidRDefault="00CF30DA" w:rsidP="00CF30DA"/>
    <w:p w:rsidR="00CF30DA" w:rsidRDefault="00CF30DA" w:rsidP="00CF30DA"/>
    <w:p w:rsidR="00CF30DA" w:rsidRDefault="00CF30DA" w:rsidP="00CF30DA"/>
    <w:p w:rsidR="00CF30DA" w:rsidRDefault="00CF30DA" w:rsidP="00CF30DA"/>
    <w:p w:rsidR="00CF30DA" w:rsidRDefault="00CF30DA" w:rsidP="00CF30DA"/>
    <w:p w:rsidR="00CF30DA" w:rsidRDefault="00CF30DA" w:rsidP="00CF30DA"/>
    <w:p w:rsidR="00CF30DA" w:rsidRDefault="00CF30DA" w:rsidP="00CF30DA"/>
    <w:tbl>
      <w:tblPr>
        <w:tblW w:w="11195" w:type="dxa"/>
        <w:jc w:val="center"/>
        <w:tblCellMar>
          <w:top w:w="43" w:type="dxa"/>
          <w:left w:w="0" w:type="dxa"/>
          <w:bottom w:w="43" w:type="dxa"/>
          <w:right w:w="0" w:type="dxa"/>
        </w:tblCellMar>
        <w:tblLook w:val="04A0" w:firstRow="1" w:lastRow="0" w:firstColumn="1" w:lastColumn="0" w:noHBand="0" w:noVBand="1"/>
      </w:tblPr>
      <w:tblGrid>
        <w:gridCol w:w="2815"/>
        <w:gridCol w:w="1740"/>
        <w:gridCol w:w="1994"/>
        <w:gridCol w:w="1623"/>
        <w:gridCol w:w="1780"/>
        <w:gridCol w:w="1271"/>
      </w:tblGrid>
      <w:tr w:rsidR="00CF30DA" w:rsidRPr="005E2589" w:rsidTr="00161102">
        <w:trPr>
          <w:trHeight w:val="136"/>
          <w:jc w:val="center"/>
        </w:trPr>
        <w:tc>
          <w:tcPr>
            <w:tcW w:w="11195" w:type="dxa"/>
            <w:gridSpan w:val="6"/>
            <w:tcBorders>
              <w:top w:val="single" w:sz="8" w:space="0" w:color="auto"/>
              <w:left w:val="single" w:sz="8" w:space="0" w:color="auto"/>
              <w:bottom w:val="nil"/>
              <w:right w:val="single" w:sz="8" w:space="0" w:color="000000"/>
            </w:tcBorders>
            <w:shd w:val="clear" w:color="auto" w:fill="1F497D"/>
            <w:noWrap/>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b/>
                <w:bCs/>
                <w:color w:val="FFFFFF"/>
                <w:sz w:val="20"/>
                <w:szCs w:val="20"/>
              </w:rPr>
            </w:pPr>
            <w:r w:rsidRPr="00E3714B">
              <w:rPr>
                <w:rFonts w:ascii="Tahoma" w:eastAsia="Calibri" w:hAnsi="Tahoma" w:cs="Tahoma"/>
                <w:b/>
                <w:bCs/>
                <w:color w:val="FFFFFF"/>
                <w:sz w:val="20"/>
                <w:szCs w:val="20"/>
              </w:rPr>
              <w:t> </w:t>
            </w:r>
          </w:p>
        </w:tc>
      </w:tr>
      <w:tr w:rsidR="00CF30DA" w:rsidRPr="005E2589" w:rsidTr="00161102">
        <w:trPr>
          <w:trHeight w:val="265"/>
          <w:jc w:val="center"/>
        </w:trPr>
        <w:tc>
          <w:tcPr>
            <w:tcW w:w="11195" w:type="dxa"/>
            <w:gridSpan w:val="6"/>
            <w:tcBorders>
              <w:top w:val="nil"/>
              <w:left w:val="single" w:sz="8" w:space="0" w:color="auto"/>
              <w:bottom w:val="nil"/>
              <w:right w:val="single" w:sz="8" w:space="0" w:color="000000"/>
            </w:tcBorders>
            <w:shd w:val="clear" w:color="auto" w:fill="1F497D"/>
            <w:noWrap/>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b/>
                <w:bCs/>
                <w:color w:val="FFFFFF"/>
                <w:sz w:val="20"/>
                <w:szCs w:val="20"/>
              </w:rPr>
            </w:pPr>
            <w:r w:rsidRPr="00E3714B">
              <w:rPr>
                <w:rFonts w:ascii="Tahoma" w:eastAsia="Calibri" w:hAnsi="Tahoma" w:cs="Tahoma"/>
                <w:b/>
                <w:bCs/>
                <w:color w:val="FFFFFF"/>
                <w:sz w:val="20"/>
                <w:szCs w:val="20"/>
              </w:rPr>
              <w:t xml:space="preserve">Cost Study - FY 2012, FY 2013, and FY 2014 </w:t>
            </w:r>
          </w:p>
        </w:tc>
      </w:tr>
      <w:tr w:rsidR="00CF30DA" w:rsidRPr="005E2589" w:rsidTr="00161102">
        <w:trPr>
          <w:trHeight w:val="275"/>
          <w:jc w:val="center"/>
        </w:trPr>
        <w:tc>
          <w:tcPr>
            <w:tcW w:w="11195" w:type="dxa"/>
            <w:gridSpan w:val="6"/>
            <w:tcBorders>
              <w:top w:val="nil"/>
              <w:left w:val="single" w:sz="8" w:space="0" w:color="auto"/>
              <w:bottom w:val="nil"/>
              <w:right w:val="single" w:sz="8" w:space="0" w:color="000000"/>
            </w:tcBorders>
            <w:shd w:val="clear" w:color="auto" w:fill="1F497D"/>
            <w:noWrap/>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b/>
                <w:bCs/>
                <w:color w:val="FFFFFF"/>
                <w:sz w:val="20"/>
                <w:szCs w:val="20"/>
                <w:u w:val="single"/>
              </w:rPr>
            </w:pPr>
            <w:r w:rsidRPr="00E3714B">
              <w:rPr>
                <w:rFonts w:ascii="Tahoma" w:eastAsia="Calibri" w:hAnsi="Tahoma" w:cs="Tahoma"/>
                <w:b/>
                <w:bCs/>
                <w:color w:val="FFFFFF"/>
                <w:sz w:val="20"/>
                <w:szCs w:val="20"/>
                <w:u w:val="single"/>
              </w:rPr>
              <w:t>Relative Weights</w:t>
            </w:r>
          </w:p>
        </w:tc>
      </w:tr>
      <w:tr w:rsidR="00CF30DA" w:rsidRPr="005E2589" w:rsidTr="00161102">
        <w:trPr>
          <w:trHeight w:val="540"/>
          <w:jc w:val="center"/>
        </w:trPr>
        <w:tc>
          <w:tcPr>
            <w:tcW w:w="2815" w:type="dxa"/>
            <w:tcBorders>
              <w:top w:val="single" w:sz="8" w:space="0" w:color="auto"/>
              <w:left w:val="single" w:sz="8" w:space="0" w:color="auto"/>
              <w:bottom w:val="nil"/>
              <w:right w:val="nil"/>
            </w:tcBorders>
            <w:shd w:val="clear" w:color="auto" w:fill="1F497D"/>
            <w:noWrap/>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color w:val="FFFFFF"/>
                <w:sz w:val="20"/>
                <w:szCs w:val="20"/>
              </w:rPr>
            </w:pPr>
            <w:r w:rsidRPr="00E3714B">
              <w:rPr>
                <w:rFonts w:ascii="Tahoma" w:eastAsia="Calibri" w:hAnsi="Tahoma" w:cs="Tahoma"/>
                <w:color w:val="FFFFFF"/>
                <w:sz w:val="20"/>
                <w:szCs w:val="20"/>
              </w:rPr>
              <w:t>Discipline</w:t>
            </w:r>
          </w:p>
        </w:tc>
        <w:tc>
          <w:tcPr>
            <w:tcW w:w="1740" w:type="dxa"/>
            <w:tcBorders>
              <w:top w:val="single" w:sz="8" w:space="0" w:color="auto"/>
              <w:left w:val="nil"/>
              <w:bottom w:val="nil"/>
              <w:right w:val="nil"/>
            </w:tcBorders>
            <w:shd w:val="clear" w:color="auto" w:fill="1F497D"/>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color w:val="FFFFFF"/>
                <w:sz w:val="20"/>
                <w:szCs w:val="20"/>
              </w:rPr>
            </w:pPr>
            <w:r w:rsidRPr="00E3714B">
              <w:rPr>
                <w:rFonts w:ascii="Tahoma" w:eastAsia="Calibri" w:hAnsi="Tahoma" w:cs="Tahoma"/>
                <w:color w:val="FFFFFF"/>
                <w:sz w:val="20"/>
                <w:szCs w:val="20"/>
              </w:rPr>
              <w:t>Undergraduate Lower-Level</w:t>
            </w:r>
          </w:p>
        </w:tc>
        <w:tc>
          <w:tcPr>
            <w:tcW w:w="1994" w:type="dxa"/>
            <w:tcBorders>
              <w:top w:val="single" w:sz="8" w:space="0" w:color="auto"/>
              <w:left w:val="nil"/>
              <w:bottom w:val="nil"/>
              <w:right w:val="nil"/>
            </w:tcBorders>
            <w:shd w:val="clear" w:color="auto" w:fill="1F497D"/>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color w:val="FFFFFF"/>
                <w:sz w:val="20"/>
                <w:szCs w:val="20"/>
              </w:rPr>
            </w:pPr>
            <w:r w:rsidRPr="00E3714B">
              <w:rPr>
                <w:rFonts w:ascii="Tahoma" w:eastAsia="Calibri" w:hAnsi="Tahoma" w:cs="Tahoma"/>
                <w:color w:val="FFFFFF"/>
                <w:sz w:val="20"/>
                <w:szCs w:val="20"/>
              </w:rPr>
              <w:t>Undergraduate Upper-Level</w:t>
            </w:r>
          </w:p>
        </w:tc>
        <w:tc>
          <w:tcPr>
            <w:tcW w:w="1623" w:type="dxa"/>
            <w:tcBorders>
              <w:top w:val="single" w:sz="8" w:space="0" w:color="auto"/>
              <w:left w:val="nil"/>
              <w:bottom w:val="nil"/>
              <w:right w:val="nil"/>
            </w:tcBorders>
            <w:shd w:val="clear" w:color="auto" w:fill="1F497D"/>
            <w:noWrap/>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color w:val="FFFFFF"/>
                <w:sz w:val="20"/>
                <w:szCs w:val="20"/>
              </w:rPr>
            </w:pPr>
            <w:r w:rsidRPr="00E3714B">
              <w:rPr>
                <w:rFonts w:ascii="Tahoma" w:eastAsia="Calibri" w:hAnsi="Tahoma" w:cs="Tahoma"/>
                <w:color w:val="FFFFFF"/>
                <w:sz w:val="20"/>
                <w:szCs w:val="20"/>
              </w:rPr>
              <w:t>Master's</w:t>
            </w:r>
          </w:p>
        </w:tc>
        <w:tc>
          <w:tcPr>
            <w:tcW w:w="1779" w:type="dxa"/>
            <w:tcBorders>
              <w:top w:val="single" w:sz="8" w:space="0" w:color="auto"/>
              <w:left w:val="nil"/>
              <w:bottom w:val="nil"/>
              <w:right w:val="nil"/>
            </w:tcBorders>
            <w:shd w:val="clear" w:color="auto" w:fill="1F497D"/>
            <w:noWrap/>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color w:val="FFFFFF"/>
                <w:sz w:val="20"/>
                <w:szCs w:val="20"/>
              </w:rPr>
            </w:pPr>
            <w:r w:rsidRPr="00E3714B">
              <w:rPr>
                <w:rFonts w:ascii="Tahoma" w:eastAsia="Calibri" w:hAnsi="Tahoma" w:cs="Tahoma"/>
                <w:color w:val="FFFFFF"/>
                <w:sz w:val="20"/>
                <w:szCs w:val="20"/>
              </w:rPr>
              <w:t>Doctoral</w:t>
            </w:r>
          </w:p>
        </w:tc>
        <w:tc>
          <w:tcPr>
            <w:tcW w:w="1242" w:type="dxa"/>
            <w:tcBorders>
              <w:top w:val="single" w:sz="8" w:space="0" w:color="auto"/>
              <w:left w:val="nil"/>
              <w:bottom w:val="nil"/>
              <w:right w:val="single" w:sz="8" w:space="0" w:color="auto"/>
            </w:tcBorders>
            <w:shd w:val="clear" w:color="auto" w:fill="1F497D"/>
            <w:tcMar>
              <w:top w:w="0" w:type="dxa"/>
              <w:left w:w="108" w:type="dxa"/>
              <w:bottom w:w="0" w:type="dxa"/>
              <w:right w:w="108" w:type="dxa"/>
            </w:tcMar>
            <w:vAlign w:val="bottom"/>
            <w:hideMark/>
          </w:tcPr>
          <w:p w:rsidR="00CF30DA" w:rsidRPr="00E3714B" w:rsidRDefault="00CF30DA" w:rsidP="00161102">
            <w:pPr>
              <w:spacing w:after="0" w:line="240" w:lineRule="auto"/>
              <w:jc w:val="center"/>
              <w:rPr>
                <w:rFonts w:ascii="Tahoma" w:eastAsia="Calibri" w:hAnsi="Tahoma" w:cs="Tahoma"/>
                <w:color w:val="FFFFFF"/>
                <w:sz w:val="20"/>
                <w:szCs w:val="20"/>
              </w:rPr>
            </w:pPr>
            <w:r w:rsidRPr="00E3714B">
              <w:rPr>
                <w:rFonts w:ascii="Tahoma" w:eastAsia="Calibri" w:hAnsi="Tahoma" w:cs="Tahoma"/>
                <w:color w:val="FFFFFF"/>
                <w:sz w:val="20"/>
                <w:szCs w:val="20"/>
              </w:rPr>
              <w:t>Professional Practice</w:t>
            </w:r>
          </w:p>
        </w:tc>
      </w:tr>
      <w:tr w:rsidR="00CF30DA" w:rsidRPr="005E2589" w:rsidTr="00161102">
        <w:trPr>
          <w:trHeight w:val="265"/>
          <w:jc w:val="center"/>
        </w:trPr>
        <w:tc>
          <w:tcPr>
            <w:tcW w:w="2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Liberal Arts </w:t>
            </w:r>
          </w:p>
        </w:tc>
        <w:tc>
          <w:tcPr>
            <w:tcW w:w="1740"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1.00</w:t>
            </w:r>
          </w:p>
        </w:tc>
        <w:tc>
          <w:tcPr>
            <w:tcW w:w="1994"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1.76</w:t>
            </w:r>
          </w:p>
        </w:tc>
        <w:tc>
          <w:tcPr>
            <w:tcW w:w="1623"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4.00</w:t>
            </w:r>
          </w:p>
        </w:tc>
        <w:tc>
          <w:tcPr>
            <w:tcW w:w="1779"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10.77</w:t>
            </w:r>
          </w:p>
        </w:tc>
        <w:tc>
          <w:tcPr>
            <w:tcW w:w="1242" w:type="dxa"/>
            <w:tcBorders>
              <w:top w:val="single" w:sz="8"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Science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1.78</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3.02</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7.53</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20.61</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Fine Arts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1.47</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2.52</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6.03</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7.95</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Teacher Ed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1.63</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2.08</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2.56</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7.42</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Agriculture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2.07</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2.75</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7.80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11.77</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Engineering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2.38</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3.52</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7.10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17.98</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Home Economics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1.10</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1.75</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3.01</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8.67</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Law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5.13</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Social Services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1.68</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2.05</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2.93</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18.18</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Library Science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1.49</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1.57</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3.60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12.06</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Veterinary Medicine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22.03</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Vocational Training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1.45</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2.64</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Physical Training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1.51</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1.26</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Health Services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1.07</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1.65</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2.79</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9.86</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2.64</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Pharmacy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1.86</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5.02</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28.29</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35.14</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4.32</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Business Admin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1.19</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1.88</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3.39</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23.92</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Optometry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37.52</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55.92</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7.58</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Teacher Ed Practice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2.28</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2.13</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Technology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2.26</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2.41</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3.89</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5.20</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6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Nursing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1.72</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2.11</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3.34</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8.99</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7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Developmental Ed </w:t>
            </w:r>
          </w:p>
        </w:tc>
        <w:tc>
          <w:tcPr>
            <w:tcW w:w="174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1.00</w:t>
            </w:r>
          </w:p>
        </w:tc>
        <w:tc>
          <w:tcPr>
            <w:tcW w:w="19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62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77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c>
          <w:tcPr>
            <w:tcW w:w="12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color w:val="C5D9F1"/>
                <w:sz w:val="20"/>
                <w:szCs w:val="20"/>
              </w:rPr>
            </w:pPr>
            <w:r w:rsidRPr="00E3714B">
              <w:rPr>
                <w:rFonts w:ascii="Tahoma" w:eastAsia="Calibri" w:hAnsi="Tahoma" w:cs="Tahoma"/>
                <w:color w:val="C5D9F1"/>
                <w:sz w:val="20"/>
                <w:szCs w:val="20"/>
              </w:rPr>
              <w:t>0.00</w:t>
            </w:r>
          </w:p>
        </w:tc>
      </w:tr>
      <w:tr w:rsidR="00CF30DA" w:rsidRPr="005E2589" w:rsidTr="00161102">
        <w:trPr>
          <w:trHeight w:val="270"/>
          <w:jc w:val="center"/>
        </w:trPr>
        <w:tc>
          <w:tcPr>
            <w:tcW w:w="2815" w:type="dxa"/>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w:t>
            </w:r>
          </w:p>
        </w:tc>
        <w:tc>
          <w:tcPr>
            <w:tcW w:w="1740" w:type="dxa"/>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w:t>
            </w:r>
          </w:p>
        </w:tc>
        <w:tc>
          <w:tcPr>
            <w:tcW w:w="1994" w:type="dxa"/>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w:t>
            </w:r>
          </w:p>
        </w:tc>
        <w:tc>
          <w:tcPr>
            <w:tcW w:w="1623" w:type="dxa"/>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w:t>
            </w:r>
          </w:p>
        </w:tc>
        <w:tc>
          <w:tcPr>
            <w:tcW w:w="1779" w:type="dxa"/>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w:t>
            </w:r>
          </w:p>
        </w:tc>
        <w:tc>
          <w:tcPr>
            <w:tcW w:w="1242" w:type="dxa"/>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w:t>
            </w:r>
          </w:p>
        </w:tc>
      </w:tr>
      <w:tr w:rsidR="00CF30DA" w:rsidRPr="005E2589" w:rsidTr="00161102">
        <w:trPr>
          <w:trHeight w:val="275"/>
          <w:jc w:val="center"/>
        </w:trPr>
        <w:tc>
          <w:tcPr>
            <w:tcW w:w="2815"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b/>
                <w:bCs/>
                <w:sz w:val="20"/>
                <w:szCs w:val="20"/>
              </w:rPr>
            </w:pPr>
            <w:r w:rsidRPr="00E3714B">
              <w:rPr>
                <w:rFonts w:ascii="Tahoma" w:eastAsia="Calibri" w:hAnsi="Tahoma" w:cs="Tahoma"/>
                <w:b/>
                <w:bCs/>
                <w:sz w:val="20"/>
                <w:szCs w:val="20"/>
              </w:rPr>
              <w:t>Base Rate</w:t>
            </w:r>
          </w:p>
        </w:tc>
        <w:tc>
          <w:tcPr>
            <w:tcW w:w="1740"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b/>
                <w:bCs/>
                <w:sz w:val="20"/>
                <w:szCs w:val="20"/>
              </w:rPr>
            </w:pPr>
          </w:p>
        </w:tc>
        <w:tc>
          <w:tcPr>
            <w:tcW w:w="1994"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imes New Roman" w:eastAsia="Times New Roman" w:hAnsi="Times New Roman" w:cs="Times New Roman"/>
                <w:sz w:val="20"/>
                <w:szCs w:val="20"/>
              </w:rPr>
            </w:pPr>
          </w:p>
        </w:tc>
        <w:tc>
          <w:tcPr>
            <w:tcW w:w="1623"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imes New Roman" w:eastAsia="Times New Roman" w:hAnsi="Times New Roman" w:cs="Times New Roman"/>
                <w:sz w:val="20"/>
                <w:szCs w:val="20"/>
              </w:rPr>
            </w:pPr>
          </w:p>
        </w:tc>
        <w:tc>
          <w:tcPr>
            <w:tcW w:w="1779"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imes New Roman" w:eastAsia="Times New Roman" w:hAnsi="Times New Roman" w:cs="Times New Roman"/>
                <w:sz w:val="20"/>
                <w:szCs w:val="20"/>
              </w:rPr>
            </w:pPr>
          </w:p>
        </w:tc>
        <w:tc>
          <w:tcPr>
            <w:tcW w:w="1242"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imes New Roman" w:eastAsia="Times New Roman" w:hAnsi="Times New Roman" w:cs="Times New Roman"/>
                <w:sz w:val="20"/>
                <w:szCs w:val="20"/>
              </w:rPr>
            </w:pPr>
          </w:p>
        </w:tc>
      </w:tr>
      <w:tr w:rsidR="00CF30DA" w:rsidRPr="005E2589" w:rsidTr="00161102">
        <w:trPr>
          <w:trHeight w:val="265"/>
          <w:jc w:val="center"/>
        </w:trPr>
        <w:tc>
          <w:tcPr>
            <w:tcW w:w="2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                            55.39 </w:t>
            </w:r>
          </w:p>
        </w:tc>
        <w:tc>
          <w:tcPr>
            <w:tcW w:w="1740"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Funding Rate</w:t>
            </w:r>
          </w:p>
        </w:tc>
        <w:tc>
          <w:tcPr>
            <w:tcW w:w="1994"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p>
        </w:tc>
        <w:tc>
          <w:tcPr>
            <w:tcW w:w="1623"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imes New Roman" w:eastAsia="Times New Roman" w:hAnsi="Times New Roman" w:cs="Times New Roman"/>
                <w:sz w:val="20"/>
                <w:szCs w:val="20"/>
              </w:rPr>
            </w:pPr>
          </w:p>
        </w:tc>
        <w:tc>
          <w:tcPr>
            <w:tcW w:w="1779"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imes New Roman" w:eastAsia="Times New Roman" w:hAnsi="Times New Roman" w:cs="Times New Roman"/>
                <w:sz w:val="20"/>
                <w:szCs w:val="20"/>
              </w:rPr>
            </w:pPr>
          </w:p>
        </w:tc>
        <w:tc>
          <w:tcPr>
            <w:tcW w:w="1242"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imes New Roman" w:eastAsia="Times New Roman" w:hAnsi="Times New Roman" w:cs="Times New Roman"/>
                <w:sz w:val="20"/>
                <w:szCs w:val="20"/>
              </w:rPr>
            </w:pPr>
          </w:p>
        </w:tc>
      </w:tr>
      <w:tr w:rsidR="00CF30DA" w:rsidRPr="005E2589" w:rsidTr="00161102">
        <w:trPr>
          <w:trHeight w:val="275"/>
          <w:jc w:val="center"/>
        </w:trPr>
        <w:tc>
          <w:tcPr>
            <w:tcW w:w="2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30DA" w:rsidRPr="00E3714B" w:rsidRDefault="00CF30DA" w:rsidP="00161102">
            <w:pPr>
              <w:spacing w:after="0" w:line="240" w:lineRule="auto"/>
              <w:jc w:val="right"/>
              <w:rPr>
                <w:rFonts w:ascii="Tahoma" w:eastAsia="Calibri" w:hAnsi="Tahoma" w:cs="Tahoma"/>
                <w:sz w:val="20"/>
                <w:szCs w:val="20"/>
              </w:rPr>
            </w:pPr>
            <w:r w:rsidRPr="00E3714B">
              <w:rPr>
                <w:rFonts w:ascii="Tahoma" w:eastAsia="Calibri" w:hAnsi="Tahoma" w:cs="Tahoma"/>
                <w:sz w:val="20"/>
                <w:szCs w:val="20"/>
              </w:rPr>
              <w:t>10%</w:t>
            </w:r>
          </w:p>
        </w:tc>
        <w:tc>
          <w:tcPr>
            <w:tcW w:w="7137" w:type="dxa"/>
            <w:gridSpan w:val="4"/>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r w:rsidRPr="00E3714B">
              <w:rPr>
                <w:rFonts w:ascii="Tahoma" w:eastAsia="Calibri" w:hAnsi="Tahoma" w:cs="Tahoma"/>
                <w:sz w:val="20"/>
                <w:szCs w:val="20"/>
              </w:rPr>
              <w:t xml:space="preserve">Teaching Experience Supplement for Tenure and Tenure Track </w:t>
            </w:r>
          </w:p>
        </w:tc>
        <w:tc>
          <w:tcPr>
            <w:tcW w:w="1242" w:type="dxa"/>
            <w:noWrap/>
            <w:tcMar>
              <w:top w:w="0" w:type="dxa"/>
              <w:left w:w="108" w:type="dxa"/>
              <w:bottom w:w="0" w:type="dxa"/>
              <w:right w:w="108" w:type="dxa"/>
            </w:tcMar>
            <w:vAlign w:val="bottom"/>
            <w:hideMark/>
          </w:tcPr>
          <w:p w:rsidR="00CF30DA" w:rsidRPr="00E3714B" w:rsidRDefault="00CF30DA" w:rsidP="00161102">
            <w:pPr>
              <w:spacing w:after="0" w:line="240" w:lineRule="auto"/>
              <w:rPr>
                <w:rFonts w:ascii="Tahoma" w:eastAsia="Calibri" w:hAnsi="Tahoma" w:cs="Tahoma"/>
                <w:sz w:val="20"/>
                <w:szCs w:val="20"/>
              </w:rPr>
            </w:pPr>
          </w:p>
        </w:tc>
      </w:tr>
    </w:tbl>
    <w:p w:rsidR="00CF30DA" w:rsidRDefault="00CF30DA" w:rsidP="00CF30DA"/>
    <w:p w:rsidR="00CF30DA" w:rsidRPr="007F5E0D" w:rsidRDefault="00CF30DA" w:rsidP="00CF30DA">
      <w:pPr>
        <w:ind w:left="720"/>
      </w:pPr>
      <w:r w:rsidRPr="007F5E0D">
        <w:t>Examples of weighted credit hours for varied courses and the funding each would generate:</w:t>
      </w:r>
    </w:p>
    <w:p w:rsidR="00CF30DA" w:rsidRPr="007F5E0D" w:rsidRDefault="00CF30DA" w:rsidP="00CF30DA">
      <w:pPr>
        <w:ind w:left="720"/>
      </w:pPr>
      <w:r w:rsidRPr="007F5E0D">
        <w:t>A 3-hour lower division Education course with 25 students would generate 122 weighted credit hours, and $6,758 was earned by this course (25 student’s X 3 SCH X 1.63) (122 X 55.39)</w:t>
      </w:r>
    </w:p>
    <w:p w:rsidR="00CF30DA" w:rsidRPr="007F5E0D" w:rsidRDefault="00CF30DA" w:rsidP="00CF30DA">
      <w:pPr>
        <w:ind w:left="720"/>
      </w:pPr>
      <w:r w:rsidRPr="007F5E0D">
        <w:t>A 3 hour Masters Business course with 25 students would generate 254 weighted credit hours, and $14,069 was earned by this course (25 student’s X 3 SCH X 3.39) (254 X 55.39)</w:t>
      </w:r>
    </w:p>
    <w:p w:rsidR="00CF30DA" w:rsidRPr="007F5E0D" w:rsidRDefault="00CF30DA" w:rsidP="00CF30DA">
      <w:pPr>
        <w:ind w:left="720"/>
      </w:pPr>
      <w:r w:rsidRPr="007F5E0D">
        <w:t>A 3-hour Doctoral level course in Psychology with 25 students would generate 807 weighted credit hours, and $44,700 was earned by this course (25 Students X 3 SCH X 10.77) (807 X 55.39)</w:t>
      </w:r>
    </w:p>
    <w:p w:rsidR="00CF30DA" w:rsidRPr="0064445C" w:rsidRDefault="00CF30DA" w:rsidP="00CF30DA">
      <w:pPr>
        <w:rPr>
          <w:i/>
        </w:rPr>
      </w:pPr>
      <w:r>
        <w:rPr>
          <w:i/>
        </w:rPr>
        <w:t>*</w:t>
      </w:r>
      <w:r w:rsidRPr="0064445C">
        <w:rPr>
          <w:i/>
        </w:rPr>
        <w:t>Funding level is set at the LOWER of either the level of the course OR the level of the student enrolled in the course.</w:t>
      </w:r>
    </w:p>
    <w:p w:rsidR="00CF30DA" w:rsidRPr="0064445C" w:rsidRDefault="00CF30DA" w:rsidP="00CF30DA">
      <w:pPr>
        <w:pStyle w:val="ListParagraph"/>
        <w:numPr>
          <w:ilvl w:val="0"/>
          <w:numId w:val="23"/>
        </w:numPr>
        <w:rPr>
          <w:i/>
        </w:rPr>
      </w:pPr>
      <w:r w:rsidRPr="0064445C">
        <w:rPr>
          <w:i/>
        </w:rPr>
        <w:t xml:space="preserve">If a student at their </w:t>
      </w:r>
      <w:r w:rsidRPr="00BE3E94">
        <w:rPr>
          <w:i/>
          <w:u w:val="single"/>
        </w:rPr>
        <w:t>freshmen</w:t>
      </w:r>
      <w:r w:rsidRPr="0064445C">
        <w:rPr>
          <w:i/>
        </w:rPr>
        <w:t xml:space="preserve"> level enrolls in an upper division course, the University only receives the lower division weighted credit hour for that student. </w:t>
      </w:r>
    </w:p>
    <w:p w:rsidR="00CF30DA" w:rsidRPr="0064445C" w:rsidRDefault="00CF30DA" w:rsidP="00CF30DA">
      <w:pPr>
        <w:pStyle w:val="ListParagraph"/>
        <w:numPr>
          <w:ilvl w:val="0"/>
          <w:numId w:val="23"/>
        </w:numPr>
        <w:rPr>
          <w:i/>
        </w:rPr>
      </w:pPr>
      <w:r w:rsidRPr="0064445C">
        <w:rPr>
          <w:i/>
        </w:rPr>
        <w:t xml:space="preserve">This is also true if a </w:t>
      </w:r>
      <w:r w:rsidRPr="00BE3E94">
        <w:rPr>
          <w:i/>
          <w:u w:val="single"/>
        </w:rPr>
        <w:t>senior</w:t>
      </w:r>
      <w:r w:rsidRPr="0064445C">
        <w:rPr>
          <w:i/>
        </w:rPr>
        <w:t xml:space="preserve"> level student enrolls in a lower division course then the funding received would be based on the level of the course.</w:t>
      </w:r>
    </w:p>
    <w:p w:rsidR="00CF30DA" w:rsidRPr="00B44FB6" w:rsidRDefault="00CF30DA" w:rsidP="00CF30DA">
      <w:pPr>
        <w:rPr>
          <w:b/>
        </w:rPr>
      </w:pPr>
      <w:r w:rsidRPr="00B44FB6">
        <w:rPr>
          <w:b/>
        </w:rPr>
        <w:t>4.1 Instruction &amp; Operating</w:t>
      </w:r>
    </w:p>
    <w:p w:rsidR="00CF30DA" w:rsidRDefault="00CF30DA" w:rsidP="00CF30DA">
      <w:r>
        <w:t>The Instruction and Operations formula generates funds through two basic concepts:</w:t>
      </w:r>
    </w:p>
    <w:p w:rsidR="00CF30DA" w:rsidRDefault="00CF30DA" w:rsidP="00CF30DA">
      <w:pPr>
        <w:pStyle w:val="ListParagraph"/>
        <w:numPr>
          <w:ilvl w:val="0"/>
          <w:numId w:val="9"/>
        </w:numPr>
      </w:pPr>
      <w:r>
        <w:t>Weighted Semester Credit Hours</w:t>
      </w:r>
    </w:p>
    <w:p w:rsidR="00CF30DA" w:rsidRDefault="00CF30DA" w:rsidP="00CF30DA">
      <w:pPr>
        <w:pStyle w:val="ListParagraph"/>
        <w:numPr>
          <w:ilvl w:val="0"/>
          <w:numId w:val="9"/>
        </w:numPr>
      </w:pPr>
      <w:r>
        <w:t>Base Period</w:t>
      </w:r>
    </w:p>
    <w:p w:rsidR="00CF30DA" w:rsidRDefault="00CF30DA" w:rsidP="00CF30DA">
      <w:r>
        <w:t>I&amp;O funding is designed to fund the following areas:</w:t>
      </w:r>
    </w:p>
    <w:p w:rsidR="00CF30DA" w:rsidRPr="00E3714B" w:rsidRDefault="00CF30DA" w:rsidP="00CF30DA">
      <w:pPr>
        <w:pStyle w:val="ListParagraph"/>
        <w:numPr>
          <w:ilvl w:val="0"/>
          <w:numId w:val="10"/>
        </w:numPr>
        <w:rPr>
          <w:sz w:val="20"/>
          <w:szCs w:val="20"/>
        </w:rPr>
      </w:pPr>
      <w:r w:rsidRPr="00E3714B">
        <w:rPr>
          <w:sz w:val="20"/>
          <w:szCs w:val="20"/>
        </w:rPr>
        <w:t>Faculty Salaries</w:t>
      </w:r>
    </w:p>
    <w:p w:rsidR="00CF30DA" w:rsidRPr="00E3714B" w:rsidRDefault="00CF30DA" w:rsidP="00CF30DA">
      <w:pPr>
        <w:pStyle w:val="ListParagraph"/>
        <w:numPr>
          <w:ilvl w:val="0"/>
          <w:numId w:val="10"/>
        </w:numPr>
        <w:rPr>
          <w:sz w:val="20"/>
          <w:szCs w:val="20"/>
        </w:rPr>
      </w:pPr>
      <w:r w:rsidRPr="00E3714B">
        <w:rPr>
          <w:sz w:val="20"/>
          <w:szCs w:val="20"/>
        </w:rPr>
        <w:t>Department Operating Expense</w:t>
      </w:r>
    </w:p>
    <w:p w:rsidR="00CF30DA" w:rsidRPr="00E3714B" w:rsidRDefault="00CF30DA" w:rsidP="00CF30DA">
      <w:pPr>
        <w:pStyle w:val="ListParagraph"/>
        <w:numPr>
          <w:ilvl w:val="0"/>
          <w:numId w:val="10"/>
        </w:numPr>
        <w:rPr>
          <w:sz w:val="20"/>
          <w:szCs w:val="20"/>
        </w:rPr>
      </w:pPr>
      <w:r w:rsidRPr="00E3714B">
        <w:rPr>
          <w:sz w:val="20"/>
          <w:szCs w:val="20"/>
        </w:rPr>
        <w:t>Library</w:t>
      </w:r>
    </w:p>
    <w:p w:rsidR="00CF30DA" w:rsidRPr="00E3714B" w:rsidRDefault="00CF30DA" w:rsidP="00CF30DA">
      <w:pPr>
        <w:pStyle w:val="ListParagraph"/>
        <w:numPr>
          <w:ilvl w:val="0"/>
          <w:numId w:val="10"/>
        </w:numPr>
        <w:rPr>
          <w:sz w:val="20"/>
          <w:szCs w:val="20"/>
        </w:rPr>
      </w:pPr>
      <w:r w:rsidRPr="00E3714B">
        <w:rPr>
          <w:sz w:val="20"/>
          <w:szCs w:val="20"/>
        </w:rPr>
        <w:t>Instructional Support</w:t>
      </w:r>
    </w:p>
    <w:p w:rsidR="00CF30DA" w:rsidRPr="00E3714B" w:rsidRDefault="00CF30DA" w:rsidP="00CF30DA">
      <w:pPr>
        <w:pStyle w:val="ListParagraph"/>
        <w:numPr>
          <w:ilvl w:val="0"/>
          <w:numId w:val="10"/>
        </w:numPr>
        <w:rPr>
          <w:sz w:val="20"/>
          <w:szCs w:val="20"/>
        </w:rPr>
      </w:pPr>
      <w:r w:rsidRPr="00E3714B">
        <w:rPr>
          <w:sz w:val="20"/>
          <w:szCs w:val="20"/>
        </w:rPr>
        <w:t>Research enhancement</w:t>
      </w:r>
    </w:p>
    <w:p w:rsidR="00CF30DA" w:rsidRPr="00E3714B" w:rsidRDefault="00CF30DA" w:rsidP="00CF30DA">
      <w:pPr>
        <w:pStyle w:val="ListParagraph"/>
        <w:numPr>
          <w:ilvl w:val="0"/>
          <w:numId w:val="10"/>
        </w:numPr>
        <w:rPr>
          <w:sz w:val="20"/>
          <w:szCs w:val="20"/>
        </w:rPr>
      </w:pPr>
      <w:r w:rsidRPr="00E3714B">
        <w:rPr>
          <w:sz w:val="20"/>
          <w:szCs w:val="20"/>
        </w:rPr>
        <w:t>Student Services</w:t>
      </w:r>
    </w:p>
    <w:p w:rsidR="00CF30DA" w:rsidRPr="00E3714B" w:rsidRDefault="00CF30DA" w:rsidP="00CF30DA">
      <w:pPr>
        <w:pStyle w:val="ListParagraph"/>
        <w:numPr>
          <w:ilvl w:val="0"/>
          <w:numId w:val="10"/>
        </w:numPr>
        <w:rPr>
          <w:sz w:val="20"/>
          <w:szCs w:val="20"/>
        </w:rPr>
      </w:pPr>
      <w:r w:rsidRPr="00E3714B">
        <w:rPr>
          <w:sz w:val="20"/>
          <w:szCs w:val="20"/>
        </w:rPr>
        <w:t>Instructional Support</w:t>
      </w:r>
    </w:p>
    <w:p w:rsidR="00CF30DA" w:rsidRDefault="00CF30DA" w:rsidP="00CF30DA">
      <w:r>
        <w:t>Instruction and Operations is completely driven by credit hours.</w:t>
      </w:r>
    </w:p>
    <w:p w:rsidR="00CF30DA" w:rsidRDefault="00CF30DA" w:rsidP="00CF30DA">
      <w:r>
        <w:t>The Teaching Experience Supplement is an add-on to the Instruction and Operations Formula.</w:t>
      </w:r>
    </w:p>
    <w:p w:rsidR="00CF30DA" w:rsidRDefault="00CF30DA" w:rsidP="00CF30DA">
      <w:r>
        <w:t>This provides an additional 10% of formula income bonus for undergraduate credit hours taught by tenured and tenure track faculty.</w:t>
      </w:r>
    </w:p>
    <w:p w:rsidR="00CF30DA" w:rsidRPr="005B2627" w:rsidRDefault="00CF30DA" w:rsidP="00CF30DA">
      <w:pPr>
        <w:rPr>
          <w:b/>
        </w:rPr>
      </w:pPr>
      <w:r w:rsidRPr="005B2627">
        <w:rPr>
          <w:b/>
        </w:rPr>
        <w:t xml:space="preserve">4.2 Infrastructure </w:t>
      </w:r>
    </w:p>
    <w:p w:rsidR="00CF30DA" w:rsidRDefault="00CF30DA" w:rsidP="00CF30DA">
      <w:r>
        <w:t>Infrastructure support formula is partially driven by credit hours while also including academic program mix, staff size, research expenditures, and Library collection size.</w:t>
      </w:r>
    </w:p>
    <w:p w:rsidR="00CF30DA" w:rsidRDefault="00CF30DA" w:rsidP="00CF30DA">
      <w:r>
        <w:t>The supplements to the formulas are driven by semester credit hour (SCH) and headcount.</w:t>
      </w:r>
    </w:p>
    <w:p w:rsidR="00CF30DA" w:rsidRDefault="00CF30DA" w:rsidP="00CF30DA">
      <w:pPr>
        <w:pStyle w:val="ListParagraph"/>
        <w:numPr>
          <w:ilvl w:val="0"/>
          <w:numId w:val="11"/>
        </w:numPr>
      </w:pPr>
      <w:r>
        <w:t>The teaching experience supplement is driven by the number of undergraduate credit hours taught by tenured or tenure-track faculty.</w:t>
      </w:r>
    </w:p>
    <w:p w:rsidR="00CF30DA" w:rsidRDefault="00CF30DA" w:rsidP="00CF30DA">
      <w:pPr>
        <w:pStyle w:val="ListParagraph"/>
        <w:numPr>
          <w:ilvl w:val="0"/>
          <w:numId w:val="11"/>
        </w:numPr>
      </w:pPr>
      <w:r>
        <w:t>The small institution supplement is given to schools with less than 10,000 students.</w:t>
      </w:r>
    </w:p>
    <w:p w:rsidR="00CF30DA" w:rsidRDefault="00CF30DA" w:rsidP="00CF30DA">
      <w:r>
        <w:t>Infrastructure support is funded on by projection. This is a projection of the space that will be needed by the University by growth rate. This is not the space the University actually has.</w:t>
      </w:r>
    </w:p>
    <w:p w:rsidR="00CF30DA" w:rsidRDefault="00CF30DA" w:rsidP="00CF30DA">
      <w:r>
        <w:t>There are various dimensions to the model including:</w:t>
      </w:r>
    </w:p>
    <w:p w:rsidR="00CF30DA" w:rsidRPr="00E3714B" w:rsidRDefault="00CF30DA" w:rsidP="00CF30DA">
      <w:pPr>
        <w:pStyle w:val="ListParagraph"/>
        <w:numPr>
          <w:ilvl w:val="0"/>
          <w:numId w:val="12"/>
        </w:numPr>
        <w:rPr>
          <w:sz w:val="20"/>
          <w:szCs w:val="20"/>
        </w:rPr>
      </w:pPr>
      <w:r w:rsidRPr="00E3714B">
        <w:rPr>
          <w:sz w:val="20"/>
          <w:szCs w:val="20"/>
        </w:rPr>
        <w:t>Teaching space</w:t>
      </w:r>
    </w:p>
    <w:p w:rsidR="00CF30DA" w:rsidRPr="00E3714B" w:rsidRDefault="00CF30DA" w:rsidP="00CF30DA">
      <w:pPr>
        <w:pStyle w:val="ListParagraph"/>
        <w:numPr>
          <w:ilvl w:val="0"/>
          <w:numId w:val="12"/>
        </w:numPr>
        <w:rPr>
          <w:sz w:val="20"/>
          <w:szCs w:val="20"/>
        </w:rPr>
      </w:pPr>
      <w:r w:rsidRPr="00E3714B">
        <w:rPr>
          <w:sz w:val="20"/>
          <w:szCs w:val="20"/>
        </w:rPr>
        <w:t>Library Space</w:t>
      </w:r>
    </w:p>
    <w:p w:rsidR="00CF30DA" w:rsidRPr="00E3714B" w:rsidRDefault="00CF30DA" w:rsidP="00CF30DA">
      <w:pPr>
        <w:pStyle w:val="ListParagraph"/>
        <w:numPr>
          <w:ilvl w:val="0"/>
          <w:numId w:val="12"/>
        </w:numPr>
        <w:rPr>
          <w:sz w:val="20"/>
          <w:szCs w:val="20"/>
        </w:rPr>
      </w:pPr>
      <w:r w:rsidRPr="00E3714B">
        <w:rPr>
          <w:sz w:val="20"/>
          <w:szCs w:val="20"/>
        </w:rPr>
        <w:t>Research Space</w:t>
      </w:r>
    </w:p>
    <w:p w:rsidR="00CF30DA" w:rsidRPr="00E3714B" w:rsidRDefault="00CF30DA" w:rsidP="00CF30DA">
      <w:pPr>
        <w:pStyle w:val="ListParagraph"/>
        <w:numPr>
          <w:ilvl w:val="0"/>
          <w:numId w:val="12"/>
        </w:numPr>
        <w:rPr>
          <w:sz w:val="20"/>
          <w:szCs w:val="20"/>
        </w:rPr>
      </w:pPr>
      <w:r w:rsidRPr="00E3714B">
        <w:rPr>
          <w:sz w:val="20"/>
          <w:szCs w:val="20"/>
        </w:rPr>
        <w:t>Office Space</w:t>
      </w:r>
    </w:p>
    <w:p w:rsidR="00CF30DA" w:rsidRPr="00E3714B" w:rsidRDefault="00CF30DA" w:rsidP="00CF30DA">
      <w:pPr>
        <w:pStyle w:val="ListParagraph"/>
        <w:numPr>
          <w:ilvl w:val="0"/>
          <w:numId w:val="12"/>
        </w:numPr>
        <w:rPr>
          <w:sz w:val="20"/>
          <w:szCs w:val="20"/>
        </w:rPr>
      </w:pPr>
      <w:r w:rsidRPr="00E3714B">
        <w:rPr>
          <w:sz w:val="20"/>
          <w:szCs w:val="20"/>
        </w:rPr>
        <w:t>Support Space</w:t>
      </w:r>
    </w:p>
    <w:p w:rsidR="00CF30DA" w:rsidRPr="00E3714B" w:rsidRDefault="00CF30DA" w:rsidP="00CF30DA">
      <w:pPr>
        <w:pStyle w:val="ListParagraph"/>
        <w:numPr>
          <w:ilvl w:val="0"/>
          <w:numId w:val="12"/>
        </w:numPr>
        <w:rPr>
          <w:sz w:val="20"/>
          <w:szCs w:val="20"/>
        </w:rPr>
      </w:pPr>
      <w:r w:rsidRPr="00E3714B">
        <w:rPr>
          <w:sz w:val="20"/>
          <w:szCs w:val="20"/>
        </w:rPr>
        <w:t>Utilities</w:t>
      </w:r>
    </w:p>
    <w:p w:rsidR="00CF30DA" w:rsidRDefault="00CF30DA" w:rsidP="00CF30DA">
      <w:pPr>
        <w:rPr>
          <w:b/>
          <w:sz w:val="24"/>
          <w:szCs w:val="24"/>
        </w:rPr>
      </w:pPr>
    </w:p>
    <w:p w:rsidR="00CF30DA" w:rsidRDefault="00CF30DA" w:rsidP="00CF30DA">
      <w:pPr>
        <w:rPr>
          <w:b/>
          <w:sz w:val="24"/>
          <w:szCs w:val="24"/>
        </w:rPr>
      </w:pPr>
      <w:r w:rsidRPr="003C4923">
        <w:rPr>
          <w:b/>
          <w:sz w:val="24"/>
          <w:szCs w:val="24"/>
        </w:rPr>
        <w:t>5: Instructional Fees</w:t>
      </w:r>
    </w:p>
    <w:p w:rsidR="00CF30DA" w:rsidRDefault="00FC0EC7" w:rsidP="00CF30DA">
      <w:r>
        <w:t>Two statutes govern instructional fees</w:t>
      </w:r>
      <w:r w:rsidR="00CF30DA">
        <w:t>:</w:t>
      </w:r>
    </w:p>
    <w:p w:rsidR="00CF30DA" w:rsidRDefault="00CF30DA" w:rsidP="00CF30DA">
      <w:pPr>
        <w:pStyle w:val="ListParagraph"/>
        <w:numPr>
          <w:ilvl w:val="0"/>
          <w:numId w:val="28"/>
        </w:numPr>
      </w:pPr>
      <w:r>
        <w:t>Incidental Fee Statue 54.504 Texas Education Code</w:t>
      </w:r>
    </w:p>
    <w:p w:rsidR="00CF30DA" w:rsidRDefault="00CF30DA" w:rsidP="00CF30DA">
      <w:pPr>
        <w:pStyle w:val="ListParagraph"/>
        <w:numPr>
          <w:ilvl w:val="1"/>
          <w:numId w:val="28"/>
        </w:numPr>
      </w:pPr>
      <w:r>
        <w:t>The Academic fee is charged to every course within a college/school and it covers supplies or services that directly support classroom instruction.</w:t>
      </w:r>
    </w:p>
    <w:p w:rsidR="00CF30DA" w:rsidRDefault="00CF30DA" w:rsidP="00CF30DA">
      <w:pPr>
        <w:pStyle w:val="ListParagraph"/>
        <w:numPr>
          <w:ilvl w:val="1"/>
          <w:numId w:val="28"/>
        </w:numPr>
      </w:pPr>
      <w:r>
        <w:t>Academic fees are a designated fee; designated fees are considered local money.</w:t>
      </w:r>
    </w:p>
    <w:p w:rsidR="00CF30DA" w:rsidRDefault="00CF30DA" w:rsidP="00CF30DA">
      <w:pPr>
        <w:pStyle w:val="ListParagraph"/>
        <w:numPr>
          <w:ilvl w:val="0"/>
          <w:numId w:val="28"/>
        </w:numPr>
      </w:pPr>
      <w:r>
        <w:t>Laboratory Fee Statue 54.501 Texas Education Code</w:t>
      </w:r>
    </w:p>
    <w:p w:rsidR="00CF30DA" w:rsidRDefault="00CF30DA" w:rsidP="00CF30DA">
      <w:pPr>
        <w:pStyle w:val="ListParagraph"/>
        <w:numPr>
          <w:ilvl w:val="1"/>
          <w:numId w:val="28"/>
        </w:numPr>
      </w:pPr>
      <w:r>
        <w:t>The Lab fee is required to be charged to any course that requires the student to register for or attend a separate lab section to complement the lecture section. Lab fees can be no less than $2 and no more than $30.</w:t>
      </w:r>
    </w:p>
    <w:p w:rsidR="00CF30DA" w:rsidRDefault="00CF30DA" w:rsidP="00CF30DA">
      <w:pPr>
        <w:pStyle w:val="ListParagraph"/>
        <w:numPr>
          <w:ilvl w:val="1"/>
          <w:numId w:val="28"/>
        </w:numPr>
      </w:pPr>
      <w:r>
        <w:t>Lab fees are considered to be state funds in the university accounting system.</w:t>
      </w:r>
    </w:p>
    <w:p w:rsidR="00CF30DA" w:rsidRDefault="00CF30DA" w:rsidP="00CF30DA">
      <w:r>
        <w:t xml:space="preserve">Academic fee funds not expended at year-end carry forward for use in the new fiscal year for the same purposes. </w:t>
      </w:r>
    </w:p>
    <w:p w:rsidR="00CF30DA" w:rsidRDefault="00CF30DA" w:rsidP="00CF30DA">
      <w:r>
        <w:t>UNT policy 10.037- “prudent reserves maintained in the fund balance may include a modest amount of up to 10% of the annual academic fee revenue, including equipment reserve funds. Annual unexpended end balances in excess of the 10% reserve must have written justification approved by the provost.”</w:t>
      </w:r>
    </w:p>
    <w:p w:rsidR="00CF30DA" w:rsidRDefault="00CF30DA" w:rsidP="00CF30DA">
      <w:r>
        <w:t>Unless the college or school receives approval to carry the balance, the fee must be revised to bring the available academic fund balance in compliance for future fiscal years.</w:t>
      </w:r>
    </w:p>
    <w:p w:rsidR="00CF30DA" w:rsidRDefault="00CF30DA" w:rsidP="00CF30DA">
      <w:r>
        <w:t xml:space="preserve">It is important to understand the distinction between direct support and indirect support of instruction. Academic fees should ONLY fund those items that are a direct support of instruction. </w:t>
      </w:r>
    </w:p>
    <w:p w:rsidR="00CF30DA" w:rsidRDefault="00CF30DA" w:rsidP="00CF30DA">
      <w:r>
        <w:t xml:space="preserve">For examples, Direct vs. Indirect support of instruction and those items allowable and non-allowable on instructional fees please see the </w:t>
      </w:r>
      <w:hyperlink r:id="rId32" w:history="1">
        <w:r w:rsidRPr="00852845">
          <w:rPr>
            <w:rStyle w:val="Hyperlink"/>
          </w:rPr>
          <w:t>instructional fee guidebook</w:t>
        </w:r>
      </w:hyperlink>
      <w:r>
        <w:t xml:space="preserve"> from the VPAA office. </w:t>
      </w:r>
    </w:p>
    <w:p w:rsidR="00CF30DA" w:rsidRDefault="00CF30DA" w:rsidP="00CF30DA">
      <w:r>
        <w:t xml:space="preserve">The department budget officer should maintain an equipment reserve schedule and equipment list of all equipment funded though academic fees. The schedule must be submitted during the annual fee request process.  Outside of the fee request process if the department needs to purchase equipment using instructional fees the </w:t>
      </w:r>
      <w:hyperlink r:id="rId33" w:history="1">
        <w:r w:rsidRPr="00436EFF">
          <w:rPr>
            <w:rStyle w:val="Hyperlink"/>
          </w:rPr>
          <w:t>equipment request</w:t>
        </w:r>
      </w:hyperlink>
      <w:r>
        <w:t xml:space="preserve"> form must be filled out and approved. </w:t>
      </w:r>
    </w:p>
    <w:p w:rsidR="00CF30DA" w:rsidRDefault="00CF30DA" w:rsidP="00CF30DA">
      <w:r>
        <w:t>Each year the academic fee for each college will need to be reviewed and any necessary changes made. The academic fee form will be distributed by the VPAA office for completion by the college budget officers.</w:t>
      </w:r>
    </w:p>
    <w:p w:rsidR="00CF30DA" w:rsidRDefault="00CF30DA" w:rsidP="00CF30DA">
      <w:r>
        <w:t>Lab fees must be charged separately from an academic fee. The information regarding allowable and not allowable items for Lab Fees can also be accessed in the Instructional Fee Guide Book.</w:t>
      </w:r>
    </w:p>
    <w:p w:rsidR="00CF30DA" w:rsidRDefault="00CF30DA" w:rsidP="00CF30DA">
      <w:r>
        <w:t xml:space="preserve">A separate Lab Fee Form will also be distributed to the colleges for completion. </w:t>
      </w:r>
    </w:p>
    <w:p w:rsidR="00CF30DA" w:rsidRDefault="00CF30DA" w:rsidP="00CF30DA">
      <w:r>
        <w:t xml:space="preserve">Training and information for instructional forms are provided by the VPAA office in December/January of the preceding fiscal year for implementation of the fee. All fee forms must be completed and reviewed by announced fiscal year deadlines in order to have accurate fees in place when students begin enrollment for the next fiscal year. </w:t>
      </w:r>
    </w:p>
    <w:p w:rsidR="00E32347" w:rsidRDefault="00E32347" w:rsidP="00CF30DA">
      <w:pPr>
        <w:rPr>
          <w:b/>
          <w:sz w:val="24"/>
          <w:szCs w:val="24"/>
        </w:rPr>
      </w:pPr>
    </w:p>
    <w:p w:rsidR="00CF30DA" w:rsidRPr="00DB0AC0" w:rsidRDefault="00CF30DA" w:rsidP="00CF30DA">
      <w:pPr>
        <w:rPr>
          <w:b/>
          <w:sz w:val="24"/>
          <w:szCs w:val="24"/>
        </w:rPr>
      </w:pPr>
      <w:r w:rsidRPr="00DB0AC0">
        <w:rPr>
          <w:b/>
          <w:sz w:val="24"/>
          <w:szCs w:val="24"/>
        </w:rPr>
        <w:t>6: Summer Pay</w:t>
      </w:r>
    </w:p>
    <w:p w:rsidR="00CF30DA" w:rsidRPr="00DB0AC0" w:rsidRDefault="00CF30DA" w:rsidP="00CF30DA">
      <w:pPr>
        <w:rPr>
          <w:b/>
        </w:rPr>
      </w:pPr>
      <w:r>
        <w:rPr>
          <w:b/>
        </w:rPr>
        <w:t xml:space="preserve">6.1 </w:t>
      </w:r>
      <w:r w:rsidRPr="00DB0AC0">
        <w:rPr>
          <w:b/>
        </w:rPr>
        <w:t>9-month appointment pay options</w:t>
      </w:r>
    </w:p>
    <w:p w:rsidR="00CF30DA" w:rsidRDefault="00CF30DA" w:rsidP="00CF30DA">
      <w:r>
        <w:t>The University offers special pay and insurance options for employees who are on a 9-month appointment. The two options available to employees on a 9-month appointment are as follows:</w:t>
      </w:r>
    </w:p>
    <w:p w:rsidR="00CF30DA" w:rsidRDefault="00CF30DA" w:rsidP="00CF30DA">
      <w:r>
        <w:t>Premium Reserve: This is the default pay option for employees on 9-month appointments. In this model, regular salary is divided by 9 and paid out September through May. Summer insurance premiums are deducted from the employee’s 9 checks and held in reserve to cover summer insurance costs.</w:t>
      </w:r>
    </w:p>
    <w:p w:rsidR="00CF30DA" w:rsidRDefault="00CF30DA" w:rsidP="00CF30DA">
      <w:r>
        <w:t xml:space="preserve">Annualized Compensation: This pay option is often referred to as salary spread. The regular salary is divided and paid over 12 months along with insurance premiums. The amount paid in summer will show on paychecks as Paid Not Earned (PNE). This is an elected option. </w:t>
      </w:r>
    </w:p>
    <w:p w:rsidR="00CF30DA" w:rsidRDefault="00CF30DA" w:rsidP="00CF30DA">
      <w:pPr>
        <w:pStyle w:val="ListParagraph"/>
        <w:numPr>
          <w:ilvl w:val="0"/>
          <w:numId w:val="14"/>
        </w:numPr>
      </w:pPr>
      <w:r>
        <w:t>Premium reserve and annualized compensation apply to base pay only.</w:t>
      </w:r>
    </w:p>
    <w:p w:rsidR="00CF30DA" w:rsidRDefault="00CF30DA" w:rsidP="00CF30DA">
      <w:pPr>
        <w:pStyle w:val="ListParagraph"/>
        <w:numPr>
          <w:ilvl w:val="0"/>
          <w:numId w:val="14"/>
        </w:numPr>
      </w:pPr>
      <w:r>
        <w:t xml:space="preserve">Annualized compensation (salary spread) election or cancellation must be made by a 9-month faculty or staff member BEFORE their first day of work for the new academic year. </w:t>
      </w:r>
    </w:p>
    <w:p w:rsidR="00CF30DA" w:rsidRDefault="00CF30DA" w:rsidP="00CF30DA">
      <w:pPr>
        <w:pStyle w:val="ListParagraph"/>
        <w:numPr>
          <w:ilvl w:val="0"/>
          <w:numId w:val="14"/>
        </w:numPr>
      </w:pPr>
      <w:r>
        <w:t>Current employees will retain their current election unless the election/cancellation form is submitted by the deadline.</w:t>
      </w:r>
    </w:p>
    <w:p w:rsidR="00CF30DA" w:rsidRDefault="00CF30DA" w:rsidP="00CF30DA">
      <w:pPr>
        <w:pStyle w:val="ListParagraph"/>
        <w:numPr>
          <w:ilvl w:val="0"/>
          <w:numId w:val="14"/>
        </w:numPr>
      </w:pPr>
      <w:r>
        <w:t>Employees on annualized compensation must remain in their primary job record for the summer months to pay out their summer reserve pay.</w:t>
      </w:r>
    </w:p>
    <w:p w:rsidR="00CF30DA" w:rsidRDefault="00CF30DA" w:rsidP="00CF30DA">
      <w:pPr>
        <w:pStyle w:val="ListParagraph"/>
        <w:numPr>
          <w:ilvl w:val="0"/>
          <w:numId w:val="14"/>
        </w:numPr>
      </w:pPr>
      <w:r>
        <w:t>A separate job record must be used to pay for work performed in summer or Maymester, regardless of which pay option was chosen for the employee’s primary job record.</w:t>
      </w:r>
    </w:p>
    <w:p w:rsidR="00CF30DA" w:rsidRPr="00DB0AC0" w:rsidRDefault="00CF30DA" w:rsidP="00CF30DA">
      <w:pPr>
        <w:rPr>
          <w:b/>
        </w:rPr>
      </w:pPr>
      <w:r w:rsidRPr="00DB0AC0">
        <w:rPr>
          <w:b/>
        </w:rPr>
        <w:t>6.2 Summer Payroll and Job Codes</w:t>
      </w:r>
    </w:p>
    <w:p w:rsidR="00CF30DA" w:rsidRDefault="00CF30DA" w:rsidP="00CF30DA">
      <w:r>
        <w:t xml:space="preserve">All summer jobs for faculty teaching, research, and program coordination will be entered via ePAR. </w:t>
      </w:r>
      <w:r w:rsidR="00A13E39">
        <w:t xml:space="preserve">A program code of 11611  should be used on all ePAR summer instruction funding. This will allow better tracking in departments of their summer instruction expense. </w:t>
      </w:r>
    </w:p>
    <w:p w:rsidR="00CF30DA" w:rsidRDefault="00CF30DA" w:rsidP="00CF30DA">
      <w:r>
        <w:t>If you have any Chairs, Associate Deans, or Deans moving into or out of an administrative role in the summer please contact the Provost Office for guidance.</w:t>
      </w:r>
    </w:p>
    <w:p w:rsidR="00CF30DA" w:rsidRPr="007975F0" w:rsidRDefault="00CF30DA" w:rsidP="00CF30DA">
      <w:pPr>
        <w:rPr>
          <w:i/>
          <w:u w:val="single"/>
        </w:rPr>
      </w:pPr>
      <w:r w:rsidRPr="007975F0">
        <w:rPr>
          <w:i/>
          <w:u w:val="single"/>
        </w:rPr>
        <w:t>Job codes for summer appointments:</w:t>
      </w:r>
    </w:p>
    <w:p w:rsidR="00CF30DA" w:rsidRDefault="00CF30DA" w:rsidP="00CF30DA">
      <w:pPr>
        <w:pStyle w:val="ListParagraph"/>
        <w:numPr>
          <w:ilvl w:val="0"/>
          <w:numId w:val="15"/>
        </w:numPr>
      </w:pPr>
      <w:r>
        <w:t>Summer regular academic job codes will be the same as during regular academic terms.</w:t>
      </w:r>
    </w:p>
    <w:p w:rsidR="00CF30DA" w:rsidRDefault="00CF30DA" w:rsidP="00CF30DA">
      <w:pPr>
        <w:pStyle w:val="ListParagraph"/>
        <w:numPr>
          <w:ilvl w:val="0"/>
          <w:numId w:val="15"/>
        </w:numPr>
      </w:pPr>
      <w:r>
        <w:t xml:space="preserve">Summer faculty research appointments should be placed on job code 1301. </w:t>
      </w:r>
    </w:p>
    <w:p w:rsidR="00CF30DA" w:rsidRDefault="00CF30DA" w:rsidP="00CF30DA">
      <w:pPr>
        <w:pStyle w:val="ListParagraph"/>
        <w:numPr>
          <w:ilvl w:val="0"/>
          <w:numId w:val="15"/>
        </w:numPr>
      </w:pPr>
      <w:r>
        <w:t>Summer Faculty program/project coordinators should be placed on job code 1233.</w:t>
      </w:r>
    </w:p>
    <w:p w:rsidR="00CF30DA" w:rsidRDefault="00CF30DA" w:rsidP="00CF30DA">
      <w:pPr>
        <w:pStyle w:val="ListParagraph"/>
        <w:numPr>
          <w:ilvl w:val="0"/>
          <w:numId w:val="15"/>
        </w:numPr>
      </w:pPr>
      <w:r>
        <w:t>Summer staff use regular job code.</w:t>
      </w:r>
    </w:p>
    <w:p w:rsidR="00CF30DA" w:rsidRDefault="00CF30DA" w:rsidP="00CF30DA">
      <w:r>
        <w:t>Summer Salary Calculations:</w:t>
      </w:r>
    </w:p>
    <w:p w:rsidR="00CF30DA" w:rsidRDefault="00CF30DA" w:rsidP="00CF30DA">
      <w:pPr>
        <w:pStyle w:val="ListParagraph"/>
        <w:numPr>
          <w:ilvl w:val="0"/>
          <w:numId w:val="16"/>
        </w:numPr>
      </w:pPr>
      <w:r>
        <w:t>Faculty Teaching</w:t>
      </w:r>
    </w:p>
    <w:p w:rsidR="00CF30DA" w:rsidRDefault="00CF30DA" w:rsidP="00CF30DA">
      <w:pPr>
        <w:pStyle w:val="ListParagraph"/>
        <w:numPr>
          <w:ilvl w:val="1"/>
          <w:numId w:val="16"/>
        </w:numPr>
      </w:pPr>
      <w:r>
        <w:t>Rate Factor 2.5% per SCH (7.5% for 3 SCH)</w:t>
      </w:r>
    </w:p>
    <w:p w:rsidR="00CF30DA" w:rsidRDefault="00CF30DA" w:rsidP="00CF30DA">
      <w:pPr>
        <w:pStyle w:val="ListParagraph"/>
        <w:numPr>
          <w:ilvl w:val="1"/>
          <w:numId w:val="16"/>
        </w:numPr>
      </w:pPr>
      <w:r>
        <w:t>Minimum: $1087.50 per SCH ($3262.50 for 3 SCH) [with incentives = $1359.38/SCH]</w:t>
      </w:r>
    </w:p>
    <w:p w:rsidR="00CF30DA" w:rsidRDefault="00CF30DA" w:rsidP="00CF30DA">
      <w:pPr>
        <w:pStyle w:val="ListParagraph"/>
        <w:numPr>
          <w:ilvl w:val="1"/>
          <w:numId w:val="16"/>
        </w:numPr>
      </w:pPr>
      <w:r>
        <w:t>Maximum: $2833.33 per SCH ($8,500 for 3 SCH) [with incentives = $3,541.67/SCH]</w:t>
      </w:r>
    </w:p>
    <w:p w:rsidR="00CF30DA" w:rsidRDefault="00CF30DA" w:rsidP="00CF30DA">
      <w:pPr>
        <w:pStyle w:val="ListParagraph"/>
        <w:numPr>
          <w:ilvl w:val="1"/>
          <w:numId w:val="16"/>
        </w:numPr>
      </w:pPr>
      <w:r>
        <w:t>Incentives or disincentives may apply based on course enrollment as of the census date</w:t>
      </w:r>
    </w:p>
    <w:p w:rsidR="00CF30DA" w:rsidRDefault="00CF30DA" w:rsidP="00CF30DA">
      <w:pPr>
        <w:pStyle w:val="ListParagraph"/>
        <w:numPr>
          <w:ilvl w:val="0"/>
          <w:numId w:val="16"/>
        </w:numPr>
      </w:pPr>
      <w:r>
        <w:t xml:space="preserve">Faculty Research or Program Coordination – salary is calculated based on regular 9 -month rate. </w:t>
      </w:r>
    </w:p>
    <w:p w:rsidR="00CF30DA" w:rsidRPr="003C27AB" w:rsidRDefault="00CF30DA" w:rsidP="00CF30DA">
      <w:pPr>
        <w:pStyle w:val="ListParagraph"/>
        <w:numPr>
          <w:ilvl w:val="0"/>
          <w:numId w:val="16"/>
        </w:numPr>
      </w:pPr>
      <w:r w:rsidRPr="003C27AB">
        <w:t>Staff salary rate for work in summer months is calculated based on the employee’s regular 9-month rate.</w:t>
      </w:r>
    </w:p>
    <w:p w:rsidR="00CF30DA" w:rsidRDefault="00CF30DA" w:rsidP="00CF30DA">
      <w:r>
        <w:t>*Enrollment data used for the calculation of teaching incentives or disincentives should be reflective as of the census dates for each summer session.</w:t>
      </w:r>
    </w:p>
    <w:p w:rsidR="00CF30DA" w:rsidRDefault="00CF30DA" w:rsidP="00CF30DA">
      <w:pPr>
        <w:pStyle w:val="ListParagraph"/>
        <w:numPr>
          <w:ilvl w:val="0"/>
          <w:numId w:val="17"/>
        </w:numPr>
      </w:pPr>
      <w:r>
        <w:t xml:space="preserve">If faculty-teaching ePAR’s are submitted prior to the census date, please ensure the departments go back and review any changes in enrollment. Any salary change in a faculty member’s salary due to incentive or disincentives, an ePAR must be submitted to change their salary rate. </w:t>
      </w:r>
    </w:p>
    <w:p w:rsidR="00CF30DA" w:rsidRDefault="00CF30DA" w:rsidP="00CF30DA">
      <w:pPr>
        <w:pStyle w:val="ListParagraph"/>
        <w:numPr>
          <w:ilvl w:val="1"/>
          <w:numId w:val="17"/>
        </w:numPr>
      </w:pPr>
      <w:r>
        <w:t>The reason for the change should be included in the comments section of the ePAR.</w:t>
      </w:r>
    </w:p>
    <w:p w:rsidR="00CF30DA" w:rsidRPr="00DB0AC0" w:rsidRDefault="00CF30DA" w:rsidP="00CF30DA">
      <w:pPr>
        <w:rPr>
          <w:b/>
        </w:rPr>
      </w:pPr>
      <w:r w:rsidRPr="00DB0AC0">
        <w:rPr>
          <w:b/>
        </w:rPr>
        <w:t>6.3 Grad Students &amp; Adjuncts:</w:t>
      </w:r>
    </w:p>
    <w:p w:rsidR="00CF30DA" w:rsidRDefault="00CF30DA" w:rsidP="00CF30DA">
      <w:r>
        <w:t xml:space="preserve">Summer jobs for salaried graduate students and adjuncts must be entered via ePAR. </w:t>
      </w:r>
    </w:p>
    <w:p w:rsidR="00CF30DA" w:rsidRDefault="00CF30DA" w:rsidP="00CF30DA">
      <w:pPr>
        <w:pStyle w:val="ListParagraph"/>
        <w:numPr>
          <w:ilvl w:val="0"/>
          <w:numId w:val="17"/>
        </w:numPr>
      </w:pPr>
      <w:r>
        <w:t>New graduate or adjunct hires will need to complete the onboarding process prior to submission of the ePAR.</w:t>
      </w:r>
    </w:p>
    <w:p w:rsidR="00CF30DA" w:rsidRDefault="00CF30DA" w:rsidP="00CF30DA">
      <w:pPr>
        <w:pStyle w:val="ListParagraph"/>
        <w:numPr>
          <w:ilvl w:val="0"/>
          <w:numId w:val="17"/>
        </w:numPr>
      </w:pPr>
      <w:r>
        <w:t xml:space="preserve">All Adjuncts should have applied for the adjunct appointment via PeopleAdmin, received an offer letter for their appointment and an appropriate background check ran if required.  </w:t>
      </w:r>
    </w:p>
    <w:p w:rsidR="00CF30DA" w:rsidRDefault="00CF30DA" w:rsidP="00CF30DA">
      <w:r>
        <w:t>Salaried Grads:</w:t>
      </w:r>
    </w:p>
    <w:p w:rsidR="00CF30DA" w:rsidRDefault="00CF30DA" w:rsidP="00CF30DA">
      <w:pPr>
        <w:pStyle w:val="ListParagraph"/>
        <w:numPr>
          <w:ilvl w:val="0"/>
          <w:numId w:val="18"/>
        </w:numPr>
      </w:pPr>
      <w:r>
        <w:t>Monthly rate of pay should be based on the appropriate graduate program level and discipline.</w:t>
      </w:r>
    </w:p>
    <w:p w:rsidR="00CF30DA" w:rsidRDefault="00CF30DA" w:rsidP="00CF30DA">
      <w:pPr>
        <w:pStyle w:val="ListParagraph"/>
        <w:numPr>
          <w:ilvl w:val="0"/>
          <w:numId w:val="18"/>
        </w:numPr>
      </w:pPr>
      <w:r>
        <w:t>Employees may not change levels in the summer semester.</w:t>
      </w:r>
    </w:p>
    <w:p w:rsidR="00CF30DA" w:rsidRDefault="00CF30DA" w:rsidP="00CF30DA">
      <w:pPr>
        <w:pStyle w:val="ListParagraph"/>
        <w:numPr>
          <w:ilvl w:val="0"/>
          <w:numId w:val="18"/>
        </w:numPr>
      </w:pPr>
      <w:r>
        <w:t>Utilize job codes in the range of 0801-0853 based on the employee’s level and assignment.</w:t>
      </w:r>
    </w:p>
    <w:p w:rsidR="00CF30DA" w:rsidRDefault="00CF30DA" w:rsidP="00CF30DA">
      <w:r>
        <w:t>Adjuncts:</w:t>
      </w:r>
    </w:p>
    <w:p w:rsidR="00CF30DA" w:rsidRDefault="00CF30DA" w:rsidP="00CF30DA">
      <w:pPr>
        <w:pStyle w:val="ListParagraph"/>
        <w:numPr>
          <w:ilvl w:val="0"/>
          <w:numId w:val="19"/>
        </w:numPr>
      </w:pPr>
      <w:r>
        <w:t>Monthly rate of pay should be agreed upon semester rate.</w:t>
      </w:r>
    </w:p>
    <w:p w:rsidR="00CF30DA" w:rsidRPr="00DB0AC0" w:rsidRDefault="00CF30DA" w:rsidP="00CF30DA">
      <w:pPr>
        <w:rPr>
          <w:b/>
        </w:rPr>
      </w:pPr>
      <w:r w:rsidRPr="00DB0AC0">
        <w:rPr>
          <w:b/>
        </w:rPr>
        <w:t>6.</w:t>
      </w:r>
      <w:r>
        <w:rPr>
          <w:b/>
        </w:rPr>
        <w:t>4</w:t>
      </w:r>
      <w:r w:rsidRPr="00DB0AC0">
        <w:rPr>
          <w:b/>
        </w:rPr>
        <w:t xml:space="preserve"> Maymester:</w:t>
      </w:r>
    </w:p>
    <w:p w:rsidR="00CF30DA" w:rsidRDefault="00CF30DA" w:rsidP="00CF30DA">
      <w:r>
        <w:t>For Adjuncts and graduate students to receive compensation for Maymester that is equivalent to a regular 5-week summer session, we pay them utilizing Summer I payroll dates.</w:t>
      </w:r>
    </w:p>
    <w:p w:rsidR="00CF30DA" w:rsidRDefault="00CF30DA" w:rsidP="00CF30DA">
      <w:pPr>
        <w:pStyle w:val="ListParagraph"/>
        <w:numPr>
          <w:ilvl w:val="0"/>
          <w:numId w:val="19"/>
        </w:numPr>
      </w:pPr>
      <w:r>
        <w:t>Maymester payroll dates are 6/1 – 7/15</w:t>
      </w:r>
    </w:p>
    <w:p w:rsidR="00CF30DA" w:rsidRDefault="00CF30DA" w:rsidP="00CF30DA">
      <w:pPr>
        <w:pStyle w:val="ListParagraph"/>
        <w:numPr>
          <w:ilvl w:val="0"/>
          <w:numId w:val="19"/>
        </w:numPr>
      </w:pPr>
      <w:r>
        <w:t>Job Codes for Maymester for graduate students would be the “regular” job code 0801-0853 for graduate students, and 0700 for Adjunct.</w:t>
      </w:r>
    </w:p>
    <w:p w:rsidR="00CF30DA" w:rsidRDefault="00CF30DA" w:rsidP="00CF30DA">
      <w:r>
        <w:t>Grad student’s rate of pay for Maymester should be based on the appropriate graduate program level and discipline.</w:t>
      </w:r>
    </w:p>
    <w:p w:rsidR="00CF30DA" w:rsidRDefault="00CF30DA" w:rsidP="00CF30DA">
      <w:r>
        <w:t>Adjunct pay should be agreed-upon semester rate.</w:t>
      </w:r>
    </w:p>
    <w:p w:rsidR="00CF30DA" w:rsidRDefault="00CF30DA" w:rsidP="00CF30DA">
      <w:pPr>
        <w:pStyle w:val="ListParagraph"/>
        <w:numPr>
          <w:ilvl w:val="0"/>
          <w:numId w:val="20"/>
        </w:numPr>
      </w:pPr>
      <w:r>
        <w:t>FTE should be entered as 50% for one 3 credit hour course</w:t>
      </w:r>
    </w:p>
    <w:p w:rsidR="00CB450E" w:rsidRDefault="00CF30DA" w:rsidP="00CF30DA">
      <w:pPr>
        <w:rPr>
          <w:b/>
        </w:rPr>
      </w:pPr>
      <w:r>
        <w:t>If grad or adjunct is teaching a Maymester course and also in Summer I it is acceptable to exceed 100% FTE.</w:t>
      </w:r>
    </w:p>
    <w:p w:rsidR="00CF30DA" w:rsidRPr="005A3250" w:rsidRDefault="00CF30DA" w:rsidP="00CF30DA">
      <w:pPr>
        <w:rPr>
          <w:b/>
        </w:rPr>
      </w:pPr>
      <w:r w:rsidRPr="005A3250">
        <w:rPr>
          <w:b/>
        </w:rPr>
        <w:t>7.0 Regular Payroll:</w:t>
      </w:r>
    </w:p>
    <w:p w:rsidR="00CF30DA" w:rsidRPr="007852C7" w:rsidRDefault="00CF30DA" w:rsidP="00CF30DA">
      <w:pPr>
        <w:rPr>
          <w:i/>
        </w:rPr>
      </w:pPr>
      <w:r w:rsidRPr="007852C7">
        <w:rPr>
          <w:i/>
        </w:rPr>
        <w:t>Special Note for Academic Departments for Payroll:</w:t>
      </w:r>
    </w:p>
    <w:p w:rsidR="00CF30DA" w:rsidRDefault="00CF30DA" w:rsidP="00CF30DA">
      <w:pPr>
        <w:pStyle w:val="ListParagraph"/>
        <w:numPr>
          <w:ilvl w:val="0"/>
          <w:numId w:val="32"/>
        </w:numPr>
      </w:pPr>
      <w:r>
        <w:t>In order to fund jobs from the appropriate source of funds, it is often nec</w:t>
      </w:r>
      <w:r w:rsidR="00161102">
        <w:t>essary to use a different chart</w:t>
      </w:r>
      <w:r>
        <w:t xml:space="preserve">sting for salaried graduate students and adjunct faculty than you would use for regular faculty paid from the department. </w:t>
      </w:r>
    </w:p>
    <w:p w:rsidR="006E4AF1" w:rsidRDefault="00A13E39" w:rsidP="00CF30DA">
      <w:pPr>
        <w:pStyle w:val="ListParagraph"/>
        <w:numPr>
          <w:ilvl w:val="0"/>
          <w:numId w:val="32"/>
        </w:numPr>
      </w:pPr>
      <w:r>
        <w:t>In</w:t>
      </w:r>
      <w:r w:rsidR="006E4AF1">
        <w:t xml:space="preserve"> order to better track expenses relating to salaried graduate student salaries, please include purpose code </w:t>
      </w:r>
      <w:r w:rsidR="006E4AF1" w:rsidRPr="006E4AF1">
        <w:rPr>
          <w:b/>
          <w:u w:val="single"/>
        </w:rPr>
        <w:t>11532</w:t>
      </w:r>
      <w:r w:rsidR="006E4AF1">
        <w:t xml:space="preserve"> in the chartstring on all ePARs for job codes 0801-0853.</w:t>
      </w:r>
    </w:p>
    <w:p w:rsidR="00CF30DA" w:rsidRDefault="00CF30DA" w:rsidP="00CF30DA">
      <w:pPr>
        <w:pStyle w:val="ListParagraph"/>
        <w:numPr>
          <w:ilvl w:val="0"/>
          <w:numId w:val="32"/>
        </w:numPr>
      </w:pPr>
      <w:r>
        <w:t xml:space="preserve">Budget officers need to </w:t>
      </w:r>
      <w:r w:rsidR="00161102">
        <w:t>determine the appropriate chart</w:t>
      </w:r>
      <w:r>
        <w:t xml:space="preserve">stings to use for the different types of employees and provide this information to the administrative personnel in their areas. </w:t>
      </w:r>
    </w:p>
    <w:p w:rsidR="00CF30DA" w:rsidRDefault="00CF30DA" w:rsidP="00CF30DA">
      <w:pPr>
        <w:pStyle w:val="ListParagraph"/>
        <w:numPr>
          <w:ilvl w:val="0"/>
          <w:numId w:val="32"/>
        </w:numPr>
      </w:pPr>
      <w:r>
        <w:t>Budget officers should consult with other departments as needed for academic assignments being funded by other units such as CLEAR, UNT-I, Frisco (etc.) to en</w:t>
      </w:r>
      <w:r w:rsidR="00161102">
        <w:t>sure that the appropriate chart</w:t>
      </w:r>
      <w:r>
        <w:t xml:space="preserve">string is being used. </w:t>
      </w:r>
    </w:p>
    <w:p w:rsidR="00CF30DA" w:rsidRDefault="00CF30DA" w:rsidP="00CF30DA">
      <w:pPr>
        <w:pStyle w:val="ListParagraph"/>
        <w:numPr>
          <w:ilvl w:val="0"/>
          <w:numId w:val="32"/>
        </w:numPr>
      </w:pPr>
      <w:r>
        <w:t xml:space="preserve">If a new chart, string is needed please contact the Budget Office </w:t>
      </w:r>
      <w:r w:rsidRPr="007852C7">
        <w:rPr>
          <w:i/>
          <w:u w:val="single"/>
        </w:rPr>
        <w:t>before</w:t>
      </w:r>
      <w:r>
        <w:t xml:space="preserve"> an ePAR is completed. </w:t>
      </w:r>
    </w:p>
    <w:p w:rsidR="00CF30DA" w:rsidRDefault="00CF30DA" w:rsidP="00CF30DA">
      <w:r>
        <w:t xml:space="preserve">Any Newly hired employee and any employee who has not worked for UNT during the past year will need to complete onboarding. </w:t>
      </w:r>
    </w:p>
    <w:p w:rsidR="00CF30DA" w:rsidRPr="00B8364C" w:rsidRDefault="00CF30DA" w:rsidP="00CF30DA">
      <w:pPr>
        <w:rPr>
          <w:b/>
        </w:rPr>
      </w:pPr>
      <w:r w:rsidRPr="00B8364C">
        <w:rPr>
          <w:b/>
        </w:rPr>
        <w:t>7.1 Graduate Students</w:t>
      </w:r>
      <w:r>
        <w:rPr>
          <w:b/>
        </w:rPr>
        <w:t xml:space="preserve">/Adjuncts </w:t>
      </w:r>
    </w:p>
    <w:p w:rsidR="00CF30DA" w:rsidRDefault="00CF30DA" w:rsidP="00CF30DA">
      <w:r>
        <w:t xml:space="preserve">For continuing salaried graduate students/adjuncts (on positions only) the Provost Office will distribute a spreadsheet to the Budget Officers for use in loading regular payroll data. </w:t>
      </w:r>
    </w:p>
    <w:p w:rsidR="00CF30DA" w:rsidRDefault="00CF30DA" w:rsidP="00CF30DA">
      <w:r>
        <w:t xml:space="preserve">The department will be required to prepare ePAR’s for all new salaried graduate students/adjuncts and those returning, not paid on positions and for any changes to data submitted on the spreadsheets. </w:t>
      </w:r>
    </w:p>
    <w:p w:rsidR="00CF30DA" w:rsidRDefault="00CF30DA" w:rsidP="00CF30DA">
      <w:r>
        <w:t xml:space="preserve">General Information about salaried graduate compensation is available in the </w:t>
      </w:r>
      <w:hyperlink r:id="rId34" w:history="1">
        <w:r w:rsidRPr="00E76968">
          <w:rPr>
            <w:rStyle w:val="Hyperlink"/>
          </w:rPr>
          <w:t>Graduate Student Recruitment and Retention Plan</w:t>
        </w:r>
      </w:hyperlink>
      <w:r>
        <w:t xml:space="preserve">. Adjunct Recruitment and hiring information can be found on the </w:t>
      </w:r>
      <w:hyperlink r:id="rId35" w:history="1">
        <w:r w:rsidRPr="00E76968">
          <w:rPr>
            <w:rStyle w:val="Hyperlink"/>
          </w:rPr>
          <w:t>VPAA</w:t>
        </w:r>
      </w:hyperlink>
      <w:r>
        <w:t xml:space="preserve"> page. </w:t>
      </w:r>
    </w:p>
    <w:p w:rsidR="00CF30DA" w:rsidRDefault="00CF30DA" w:rsidP="00CF30DA">
      <w:r>
        <w:t>For salaried graduate students, utilize the rates listed in the graduate compensation plan.</w:t>
      </w:r>
    </w:p>
    <w:p w:rsidR="00CF30DA" w:rsidRDefault="00CF30DA" w:rsidP="00CF30DA">
      <w:r>
        <w:t xml:space="preserve">Two factors determine the rates of pay in the </w:t>
      </w:r>
      <w:hyperlink r:id="rId36" w:history="1">
        <w:r w:rsidRPr="00B8364C">
          <w:rPr>
            <w:rStyle w:val="Hyperlink"/>
          </w:rPr>
          <w:t>pay schedule</w:t>
        </w:r>
      </w:hyperlink>
      <w:r>
        <w:t>:</w:t>
      </w:r>
    </w:p>
    <w:p w:rsidR="00CF30DA" w:rsidRDefault="00CF30DA" w:rsidP="00CF30DA">
      <w:pPr>
        <w:pStyle w:val="ListParagraph"/>
        <w:numPr>
          <w:ilvl w:val="0"/>
          <w:numId w:val="34"/>
        </w:numPr>
      </w:pPr>
      <w:r>
        <w:t>Academic progression level of the graduate student</w:t>
      </w:r>
    </w:p>
    <w:p w:rsidR="00CF30DA" w:rsidRDefault="00CF30DA" w:rsidP="00CF30DA">
      <w:pPr>
        <w:pStyle w:val="ListParagraph"/>
        <w:numPr>
          <w:ilvl w:val="0"/>
          <w:numId w:val="34"/>
        </w:numPr>
      </w:pPr>
      <w:r>
        <w:t xml:space="preserve">The academic department in which the student is employed or the academic department that most closely aligns to a non-academic department for which the student is employed. The primary purpose of the multi-level pay schedule is to encourage timely progression to graduation. Information about the academic progression levels and the job codes that should be used for graduate student positions can be found in the </w:t>
      </w:r>
      <w:hyperlink r:id="rId37" w:history="1">
        <w:r w:rsidRPr="00041C49">
          <w:rPr>
            <w:rStyle w:val="Hyperlink"/>
          </w:rPr>
          <w:t>Graduate Student Recruitment and Retention plan</w:t>
        </w:r>
      </w:hyperlink>
      <w:r>
        <w:t xml:space="preserve">. </w:t>
      </w:r>
    </w:p>
    <w:p w:rsidR="00CF30DA" w:rsidRDefault="00CF30DA" w:rsidP="00CF30DA">
      <w:r>
        <w:t xml:space="preserve">Appointment dates for fall are 09/01/XXXX to 01/15/XXXX and for spring 01/16/XXXX to 05/31/XXXX. Please see the summer section on this guide for more information about summer hiring. </w:t>
      </w:r>
    </w:p>
    <w:p w:rsidR="00CF30DA" w:rsidRDefault="00CF30DA" w:rsidP="00CF30DA">
      <w:r>
        <w:t>Appointment End Date is a critical item. Appointment ePAR’s submitted without an appointment end date will be denied.</w:t>
      </w:r>
    </w:p>
    <w:p w:rsidR="00CF30DA" w:rsidRDefault="00CF30DA" w:rsidP="00CF30DA">
      <w:r>
        <w:t>*If a returning graduate student is moving to an adjunct role, or an adjunct is moving to a graduate student role, an ePAR will need to be submitted as a Hire. – HIRE Salaried</w:t>
      </w:r>
    </w:p>
    <w:p w:rsidR="00CF30DA" w:rsidRDefault="00CF30DA" w:rsidP="00CF30DA">
      <w:pPr>
        <w:pStyle w:val="ListParagraph"/>
        <w:numPr>
          <w:ilvl w:val="0"/>
          <w:numId w:val="35"/>
        </w:numPr>
      </w:pPr>
      <w:r>
        <w:t>If the graduate student is being hired into a budgeted position (position number Axxxxxxx), then submit via ePAR.</w:t>
      </w:r>
    </w:p>
    <w:p w:rsidR="00CF30DA" w:rsidRDefault="00CF30DA" w:rsidP="00CF30DA">
      <w:pPr>
        <w:pStyle w:val="ListParagraph"/>
        <w:numPr>
          <w:ilvl w:val="1"/>
          <w:numId w:val="35"/>
        </w:numPr>
      </w:pPr>
      <w:r>
        <w:t xml:space="preserve">Do not enter an end date in the department budget section of the ePAR, as these positions must be encumbered for 9 months. </w:t>
      </w:r>
    </w:p>
    <w:p w:rsidR="00CF30DA" w:rsidRDefault="00CF30DA" w:rsidP="00CF30DA">
      <w:pPr>
        <w:pStyle w:val="ListParagraph"/>
        <w:numPr>
          <w:ilvl w:val="0"/>
          <w:numId w:val="35"/>
        </w:numPr>
      </w:pPr>
      <w:r>
        <w:t>If the graduate student is returning on a budgeted position, utilize the spreadsheet to return them.</w:t>
      </w:r>
    </w:p>
    <w:p w:rsidR="00CF30DA" w:rsidRDefault="00CF30DA" w:rsidP="00CF30DA">
      <w:pPr>
        <w:pStyle w:val="ListParagraph"/>
        <w:numPr>
          <w:ilvl w:val="0"/>
          <w:numId w:val="35"/>
        </w:numPr>
      </w:pPr>
      <w:r>
        <w:t xml:space="preserve">If the graduate student is returning, but will be hired on an appointment, follow the instructions on hiring graduate students not paid on positions. </w:t>
      </w:r>
    </w:p>
    <w:p w:rsidR="00CF30DA" w:rsidRDefault="00CF30DA" w:rsidP="00CF30DA">
      <w:r>
        <w:t xml:space="preserve">Adjuncts must have a new offer letter for each semester, and must complete a CHC if one has not been previously completed, or there has been a break in service of two or more years. </w:t>
      </w:r>
    </w:p>
    <w:p w:rsidR="00CF30DA" w:rsidRPr="004F4633" w:rsidRDefault="00CF30DA" w:rsidP="00CF30DA">
      <w:pPr>
        <w:rPr>
          <w:b/>
        </w:rPr>
      </w:pPr>
      <w:r w:rsidRPr="004F4633">
        <w:rPr>
          <w:b/>
        </w:rPr>
        <w:t>7.2 Faculty Regular Payroll</w:t>
      </w:r>
    </w:p>
    <w:p w:rsidR="00CF30DA" w:rsidRDefault="00CF30DA" w:rsidP="00CF30DA">
      <w:r>
        <w:t>Departments will need to submit ePAR’s for the following situations:</w:t>
      </w:r>
    </w:p>
    <w:p w:rsidR="00CF30DA" w:rsidRDefault="00CF30DA" w:rsidP="00CF30DA">
      <w:pPr>
        <w:pStyle w:val="ListParagraph"/>
        <w:numPr>
          <w:ilvl w:val="0"/>
          <w:numId w:val="36"/>
        </w:numPr>
      </w:pPr>
      <w:r>
        <w:t>New faculty</w:t>
      </w:r>
    </w:p>
    <w:p w:rsidR="00CF30DA" w:rsidRDefault="00CF30DA" w:rsidP="00CF30DA">
      <w:pPr>
        <w:pStyle w:val="ListParagraph"/>
        <w:numPr>
          <w:ilvl w:val="1"/>
          <w:numId w:val="36"/>
        </w:numPr>
      </w:pPr>
      <w:r>
        <w:t>Special note – The monthly rate should equal the offered salary divided by 9 months. The Provost Office will submit changes for salary spread election if necessary.</w:t>
      </w:r>
    </w:p>
    <w:p w:rsidR="00CF30DA" w:rsidRDefault="00CF30DA" w:rsidP="00CF30DA">
      <w:pPr>
        <w:pStyle w:val="ListParagraph"/>
        <w:numPr>
          <w:ilvl w:val="0"/>
          <w:numId w:val="36"/>
        </w:numPr>
      </w:pPr>
      <w:r>
        <w:t>Terminations</w:t>
      </w:r>
    </w:p>
    <w:p w:rsidR="00CF30DA" w:rsidRDefault="00CF30DA" w:rsidP="00CF30DA">
      <w:pPr>
        <w:pStyle w:val="ListParagraph"/>
        <w:numPr>
          <w:ilvl w:val="1"/>
          <w:numId w:val="36"/>
        </w:numPr>
      </w:pPr>
      <w:r>
        <w:t>If the faculty member is not returning or leaves before the end date of appointment.</w:t>
      </w:r>
    </w:p>
    <w:p w:rsidR="00CF30DA" w:rsidRDefault="00CF30DA" w:rsidP="00CF30DA">
      <w:pPr>
        <w:pStyle w:val="ListParagraph"/>
        <w:numPr>
          <w:ilvl w:val="0"/>
          <w:numId w:val="36"/>
        </w:numPr>
      </w:pPr>
      <w:r>
        <w:t>Faculty Leave</w:t>
      </w:r>
    </w:p>
    <w:p w:rsidR="00CF30DA" w:rsidRDefault="00CF30DA" w:rsidP="00CF30DA">
      <w:pPr>
        <w:pStyle w:val="ListParagraph"/>
        <w:numPr>
          <w:ilvl w:val="1"/>
          <w:numId w:val="36"/>
        </w:numPr>
      </w:pPr>
      <w:r>
        <w:t xml:space="preserve">Unpaid or paid leave – when leaving or returning from leave an ePAR will need to be completed. </w:t>
      </w:r>
    </w:p>
    <w:p w:rsidR="00CF30DA" w:rsidRDefault="00CF30DA" w:rsidP="00CF30DA">
      <w:pPr>
        <w:pStyle w:val="ListParagraph"/>
        <w:numPr>
          <w:ilvl w:val="1"/>
          <w:numId w:val="36"/>
        </w:numPr>
      </w:pPr>
      <w:r>
        <w:t>Faculty Development Leave – Leave with Pay</w:t>
      </w:r>
    </w:p>
    <w:p w:rsidR="00CF30DA" w:rsidRDefault="00CF30DA" w:rsidP="00CF30DA">
      <w:pPr>
        <w:pStyle w:val="ListParagraph"/>
        <w:numPr>
          <w:ilvl w:val="1"/>
          <w:numId w:val="36"/>
        </w:numPr>
      </w:pPr>
      <w:r>
        <w:t>Leave of Absence – Leave without Pay</w:t>
      </w:r>
    </w:p>
    <w:p w:rsidR="00CF30DA" w:rsidRDefault="00CF30DA" w:rsidP="00CF30DA">
      <w:pPr>
        <w:pStyle w:val="ListParagraph"/>
        <w:numPr>
          <w:ilvl w:val="1"/>
          <w:numId w:val="36"/>
        </w:numPr>
      </w:pPr>
      <w:r>
        <w:t>Adjust FTE for faculty members going on or returning from part-time leave.</w:t>
      </w:r>
    </w:p>
    <w:p w:rsidR="00CF30DA" w:rsidRDefault="00CF30DA" w:rsidP="00CF30DA">
      <w:pPr>
        <w:pStyle w:val="ListParagraph"/>
        <w:numPr>
          <w:ilvl w:val="0"/>
          <w:numId w:val="36"/>
        </w:numPr>
      </w:pPr>
      <w:r>
        <w:t xml:space="preserve">Changes to employment </w:t>
      </w:r>
    </w:p>
    <w:p w:rsidR="00CF30DA" w:rsidRDefault="00CF30DA" w:rsidP="00CF30DA">
      <w:pPr>
        <w:pStyle w:val="ListParagraph"/>
        <w:numPr>
          <w:ilvl w:val="1"/>
          <w:numId w:val="36"/>
        </w:numPr>
      </w:pPr>
      <w:r>
        <w:t>Faculty to Administrator (Dean, Assoc. Dean, Chair) or if going from Administrator to Faculty.- An appointment will need to be made with Melinda Lilly in the VPAA office to ensure appropriate position set-up.</w:t>
      </w:r>
    </w:p>
    <w:p w:rsidR="00CF30DA" w:rsidRDefault="00CF30DA" w:rsidP="00CF30DA">
      <w:pPr>
        <w:pStyle w:val="ListParagraph"/>
        <w:numPr>
          <w:ilvl w:val="1"/>
          <w:numId w:val="36"/>
        </w:numPr>
      </w:pPr>
      <w:r>
        <w:t>Funding Changes</w:t>
      </w:r>
    </w:p>
    <w:p w:rsidR="00CF30DA" w:rsidRDefault="00CF30DA" w:rsidP="00CF30DA">
      <w:pPr>
        <w:pStyle w:val="ListParagraph"/>
        <w:numPr>
          <w:ilvl w:val="2"/>
          <w:numId w:val="36"/>
        </w:numPr>
      </w:pPr>
      <w:r>
        <w:t>If it is a buy-out, attach the Faculty Course Buy-Out Request Form to the ePAR.</w:t>
      </w:r>
    </w:p>
    <w:p w:rsidR="00CF30DA" w:rsidRDefault="00CF30DA" w:rsidP="00CF30DA">
      <w:pPr>
        <w:pStyle w:val="ListParagraph"/>
        <w:numPr>
          <w:ilvl w:val="1"/>
          <w:numId w:val="36"/>
        </w:numPr>
      </w:pPr>
      <w:r>
        <w:t>Additional Pay</w:t>
      </w:r>
    </w:p>
    <w:p w:rsidR="00CF30DA" w:rsidRDefault="00CF30DA" w:rsidP="00CF30DA">
      <w:pPr>
        <w:pStyle w:val="ListParagraph"/>
        <w:numPr>
          <w:ilvl w:val="2"/>
          <w:numId w:val="36"/>
        </w:numPr>
      </w:pPr>
      <w:r>
        <w:t xml:space="preserve">Cell phone, internet, and augmentations, will need to be done through ePAR. </w:t>
      </w:r>
    </w:p>
    <w:p w:rsidR="00CF30DA" w:rsidRDefault="00CF30DA" w:rsidP="00CF30DA">
      <w:pPr>
        <w:pStyle w:val="ListParagraph"/>
        <w:numPr>
          <w:ilvl w:val="3"/>
          <w:numId w:val="36"/>
        </w:numPr>
      </w:pPr>
      <w:r>
        <w:t xml:space="preserve">All necessary approval documents and/or justifications must be attached. </w:t>
      </w:r>
    </w:p>
    <w:p w:rsidR="00CF30DA" w:rsidRDefault="00CF30DA" w:rsidP="00CF30DA">
      <w:r>
        <w:t>Departments will need to submit ePAR’s for Modified Service Faculty (job code 0650). These are submitted as appointments, and do not have a position number.</w:t>
      </w:r>
    </w:p>
    <w:p w:rsidR="00CF30DA" w:rsidRDefault="00CF30DA" w:rsidP="00CF30DA">
      <w:r>
        <w:t>First Year Modified service faculty should be submitted as a hire.</w:t>
      </w:r>
    </w:p>
    <w:p w:rsidR="00CF30DA" w:rsidRDefault="00CF30DA" w:rsidP="00CF30DA">
      <w:r>
        <w:t>Returning Modified Service Faculty should be submitted as an employee Change – Return from Work Break.</w:t>
      </w:r>
    </w:p>
    <w:p w:rsidR="00CF30DA" w:rsidRDefault="00CF30DA" w:rsidP="00CF30DA">
      <w:r>
        <w:t>Faculty ending Modified Service should be submitted as a termination.</w:t>
      </w:r>
    </w:p>
    <w:p w:rsidR="00CF30DA" w:rsidRDefault="00CF30DA" w:rsidP="00CF30DA">
      <w:r>
        <w:t xml:space="preserve">The Provost Office will initiate ePAR’s to implement title changes and/or salary increases relating to promotion or faculty honorariums and chair augmentations. </w:t>
      </w:r>
    </w:p>
    <w:p w:rsidR="00CF30DA" w:rsidRDefault="00CF30DA" w:rsidP="00CF30DA">
      <w:r>
        <w:t>The Provost Office will manage all Annualized compensation (Salary Spread) changes for faculty.</w:t>
      </w:r>
    </w:p>
    <w:p w:rsidR="00CF30DA" w:rsidRDefault="00CF30DA" w:rsidP="00CF30DA">
      <w:r>
        <w:t xml:space="preserve">Budget Officers will receive a spreadsheet containing information for faculty promotion, honorariums, modified service and faculty development leave to use for validation of ePAR’s. </w:t>
      </w:r>
    </w:p>
    <w:p w:rsidR="00CB450E" w:rsidRDefault="00CB450E" w:rsidP="00CF30DA">
      <w:r>
        <w:t xml:space="preserve">Each fall and spring graduate and adjunct data is loaded in EIS. To ensure that the data is accurate, an email from the VPAA office is sent to budget officers with a list off all active positions and appointments. Included in this email is a list off all adjunct and graduate positions and appointments not returning that will be terminated in the system. </w:t>
      </w:r>
    </w:p>
    <w:p w:rsidR="00CB450E" w:rsidRDefault="00CB450E" w:rsidP="00CF30DA">
      <w:r>
        <w:t xml:space="preserve">Areas need to carefully review this information in order to </w:t>
      </w:r>
      <w:r w:rsidR="009A734C">
        <w:t>avoid errors.</w:t>
      </w:r>
      <w:bookmarkStart w:id="0" w:name="_GoBack"/>
      <w:bookmarkEnd w:id="0"/>
    </w:p>
    <w:p w:rsidR="00CF30DA" w:rsidRDefault="00CF30DA" w:rsidP="00CF30DA"/>
    <w:p w:rsidR="00CF30DA" w:rsidRDefault="00CF30DA" w:rsidP="00CF30DA"/>
    <w:p w:rsidR="00CF30DA" w:rsidRDefault="00CF30DA" w:rsidP="00CF30DA"/>
    <w:p w:rsidR="00CF30DA" w:rsidRDefault="00CF30DA" w:rsidP="00CF30DA"/>
    <w:p w:rsidR="00161102" w:rsidRDefault="00161102"/>
    <w:sectPr w:rsidR="00161102">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0E" w:rsidRDefault="00CB450E">
      <w:pPr>
        <w:spacing w:after="0" w:line="240" w:lineRule="auto"/>
      </w:pPr>
      <w:r>
        <w:separator/>
      </w:r>
    </w:p>
  </w:endnote>
  <w:endnote w:type="continuationSeparator" w:id="0">
    <w:p w:rsidR="00CB450E" w:rsidRDefault="00CB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0E" w:rsidRPr="00637D98" w:rsidRDefault="00CB450E">
    <w:pPr>
      <w:pStyle w:val="Footer"/>
      <w:rPr>
        <w:i/>
        <w:color w:val="767171" w:themeColor="background2" w:themeShade="80"/>
        <w:sz w:val="20"/>
        <w:szCs w:val="20"/>
      </w:rPr>
    </w:pPr>
    <w:r w:rsidRPr="00637D98">
      <w:rPr>
        <w:i/>
        <w:noProof/>
        <w:color w:val="767171" w:themeColor="background2" w:themeShade="80"/>
        <w:sz w:val="20"/>
        <w:szCs w:val="20"/>
      </w:rPr>
      <mc:AlternateContent>
        <mc:Choice Requires="wpg">
          <w:drawing>
            <wp:anchor distT="0" distB="0" distL="0" distR="0" simplePos="0" relativeHeight="251660288" behindDoc="0" locked="0" layoutInCell="1" allowOverlap="1" wp14:anchorId="5BA36DB9" wp14:editId="27B5494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17-05-25T00:00:00Z">
                                <w:dateFormat w:val="MMMM d, yyyy"/>
                                <w:lid w:val="en-US"/>
                                <w:storeMappedDataAs w:val="dateTime"/>
                                <w:calendar w:val="gregorian"/>
                              </w:date>
                            </w:sdtPr>
                            <w:sdtContent>
                              <w:p w:rsidR="00CB450E" w:rsidRDefault="00CB450E">
                                <w:pPr>
                                  <w:jc w:val="right"/>
                                  <w:rPr>
                                    <w:color w:val="7F7F7F" w:themeColor="text1" w:themeTint="80"/>
                                  </w:rPr>
                                </w:pPr>
                                <w:r>
                                  <w:rPr>
                                    <w:color w:val="7F7F7F" w:themeColor="text1" w:themeTint="80"/>
                                  </w:rPr>
                                  <w:t xml:space="preserve">     </w:t>
                                </w:r>
                              </w:p>
                            </w:sdtContent>
                          </w:sdt>
                          <w:p w:rsidR="00CB450E" w:rsidRDefault="00CB450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BA36DB9"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0NwMAAOI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ZDSv8xrQHrsym9Hdn9PxA6vhd4SOMTMjz64aU+nEcBPP40Of0G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7FNjQ3AwAA4ggAAA4AAAAAAAAAAAAAAAAALgIAAGRycy9lMm9Eb2MueG1sUEsBAi0AFAAG&#10;AAgAAAAhAP0EdPzcAAAABAEAAA8AAAAAAAAAAAAAAAAAkQUAAGRycy9kb3ducmV2LnhtbFBLBQYA&#10;AAAABAAEAPMAAACa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17-05-25T00:00:00Z">
                          <w:dateFormat w:val="MMMM d, yyyy"/>
                          <w:lid w:val="en-US"/>
                          <w:storeMappedDataAs w:val="dateTime"/>
                          <w:calendar w:val="gregorian"/>
                        </w:date>
                      </w:sdtPr>
                      <w:sdtContent>
                        <w:p w:rsidR="00A22200" w:rsidRDefault="00A22200">
                          <w:pPr>
                            <w:jc w:val="right"/>
                            <w:rPr>
                              <w:color w:val="7F7F7F" w:themeColor="text1" w:themeTint="80"/>
                            </w:rPr>
                          </w:pPr>
                          <w:r>
                            <w:rPr>
                              <w:color w:val="7F7F7F" w:themeColor="text1" w:themeTint="80"/>
                            </w:rPr>
                            <w:t xml:space="preserve">     </w:t>
                          </w:r>
                        </w:p>
                      </w:sdtContent>
                    </w:sdt>
                    <w:p w:rsidR="00A22200" w:rsidRDefault="00A22200">
                      <w:pPr>
                        <w:jc w:val="right"/>
                        <w:rPr>
                          <w:color w:val="808080" w:themeColor="background1" w:themeShade="80"/>
                        </w:rPr>
                      </w:pPr>
                    </w:p>
                  </w:txbxContent>
                </v:textbox>
              </v:shape>
              <w10:wrap type="square" anchorx="margin" anchory="margin"/>
            </v:group>
          </w:pict>
        </mc:Fallback>
      </mc:AlternateContent>
    </w:r>
    <w:r w:rsidRPr="00637D98">
      <w:rPr>
        <w:i/>
        <w:noProof/>
        <w:color w:val="767171" w:themeColor="background2" w:themeShade="80"/>
        <w:sz w:val="20"/>
        <w:szCs w:val="20"/>
      </w:rPr>
      <mc:AlternateContent>
        <mc:Choice Requires="wps">
          <w:drawing>
            <wp:anchor distT="0" distB="0" distL="0" distR="0" simplePos="0" relativeHeight="251659264" behindDoc="0" locked="0" layoutInCell="1" allowOverlap="1" wp14:anchorId="70C8A797" wp14:editId="5CD24FA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CB450E" w:rsidRDefault="00CB450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A734C">
                            <w:rPr>
                              <w:noProof/>
                              <w:color w:val="FFFFFF" w:themeColor="background1"/>
                              <w:sz w:val="28"/>
                              <w:szCs w:val="28"/>
                            </w:rPr>
                            <w:t>22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8A79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" fillcolor="windowText" stroked="f" strokeweight="3pt">
              <v:textbox>
                <w:txbxContent>
                  <w:p w:rsidR="00CB450E" w:rsidRDefault="00CB450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A734C">
                      <w:rPr>
                        <w:noProof/>
                        <w:color w:val="FFFFFF" w:themeColor="background1"/>
                        <w:sz w:val="28"/>
                        <w:szCs w:val="28"/>
                      </w:rPr>
                      <w:t>22</w:t>
                    </w:r>
                    <w:r>
                      <w:rPr>
                        <w:noProof/>
                        <w:color w:val="FFFFFF" w:themeColor="background1"/>
                        <w:sz w:val="28"/>
                        <w:szCs w:val="28"/>
                      </w:rPr>
                      <w:fldChar w:fldCharType="end"/>
                    </w:r>
                  </w:p>
                </w:txbxContent>
              </v:textbox>
              <w10:wrap type="square" anchorx="margin" anchory="margin"/>
            </v:rect>
          </w:pict>
        </mc:Fallback>
      </mc:AlternateContent>
    </w:r>
    <w:r w:rsidRPr="00637D98">
      <w:rPr>
        <w:i/>
        <w:color w:val="767171" w:themeColor="background2" w:themeShade="80"/>
        <w:sz w:val="20"/>
        <w:szCs w:val="20"/>
      </w:rPr>
      <w:t xml:space="preserve">Rev. </w:t>
    </w:r>
    <w:r>
      <w:rPr>
        <w:i/>
        <w:color w:val="767171" w:themeColor="background2" w:themeShade="80"/>
        <w:sz w:val="20"/>
        <w:szCs w:val="20"/>
      </w:rPr>
      <w:t>09/22/2017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0E" w:rsidRDefault="00CB450E">
      <w:pPr>
        <w:spacing w:after="0" w:line="240" w:lineRule="auto"/>
      </w:pPr>
      <w:r>
        <w:separator/>
      </w:r>
    </w:p>
  </w:footnote>
  <w:footnote w:type="continuationSeparator" w:id="0">
    <w:p w:rsidR="00CB450E" w:rsidRDefault="00CB4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0E" w:rsidRDefault="00CB450E">
    <w:pPr>
      <w:pStyle w:val="Header"/>
    </w:pPr>
    <w:r>
      <w:rPr>
        <w:noProof/>
      </w:rPr>
      <w:drawing>
        <wp:inline distT="0" distB="0" distL="0" distR="0" wp14:anchorId="670A7B47" wp14:editId="1828431D">
          <wp:extent cx="3264415" cy="390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_of_the_provost_and_academic_affairs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4415" cy="390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31E3"/>
    <w:multiLevelType w:val="hybridMultilevel"/>
    <w:tmpl w:val="0CD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6731"/>
    <w:multiLevelType w:val="hybridMultilevel"/>
    <w:tmpl w:val="3EA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4888"/>
    <w:multiLevelType w:val="hybridMultilevel"/>
    <w:tmpl w:val="AA1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3C72"/>
    <w:multiLevelType w:val="hybridMultilevel"/>
    <w:tmpl w:val="621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34D1"/>
    <w:multiLevelType w:val="hybridMultilevel"/>
    <w:tmpl w:val="D1C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C4306"/>
    <w:multiLevelType w:val="hybridMultilevel"/>
    <w:tmpl w:val="0DC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2F06"/>
    <w:multiLevelType w:val="hybridMultilevel"/>
    <w:tmpl w:val="7C7A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652D"/>
    <w:multiLevelType w:val="hybridMultilevel"/>
    <w:tmpl w:val="5A16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168A"/>
    <w:multiLevelType w:val="hybridMultilevel"/>
    <w:tmpl w:val="B5E0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83287"/>
    <w:multiLevelType w:val="hybridMultilevel"/>
    <w:tmpl w:val="2180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6152"/>
    <w:multiLevelType w:val="hybridMultilevel"/>
    <w:tmpl w:val="90C4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76CD3"/>
    <w:multiLevelType w:val="hybridMultilevel"/>
    <w:tmpl w:val="75F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6626A"/>
    <w:multiLevelType w:val="hybridMultilevel"/>
    <w:tmpl w:val="B64A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A3E72"/>
    <w:multiLevelType w:val="hybridMultilevel"/>
    <w:tmpl w:val="D292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A0A5C"/>
    <w:multiLevelType w:val="hybridMultilevel"/>
    <w:tmpl w:val="1D78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90C10"/>
    <w:multiLevelType w:val="hybridMultilevel"/>
    <w:tmpl w:val="D3D2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D35A1"/>
    <w:multiLevelType w:val="hybridMultilevel"/>
    <w:tmpl w:val="6324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5332D"/>
    <w:multiLevelType w:val="hybridMultilevel"/>
    <w:tmpl w:val="207E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C5976"/>
    <w:multiLevelType w:val="hybridMultilevel"/>
    <w:tmpl w:val="80E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17B3"/>
    <w:multiLevelType w:val="hybridMultilevel"/>
    <w:tmpl w:val="AEE4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24540"/>
    <w:multiLevelType w:val="hybridMultilevel"/>
    <w:tmpl w:val="12CE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C1389"/>
    <w:multiLevelType w:val="hybridMultilevel"/>
    <w:tmpl w:val="59B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A3419"/>
    <w:multiLevelType w:val="hybridMultilevel"/>
    <w:tmpl w:val="CA7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51EC4"/>
    <w:multiLevelType w:val="hybridMultilevel"/>
    <w:tmpl w:val="F610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417AF"/>
    <w:multiLevelType w:val="hybridMultilevel"/>
    <w:tmpl w:val="6B12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15E48"/>
    <w:multiLevelType w:val="hybridMultilevel"/>
    <w:tmpl w:val="5BC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D21DD"/>
    <w:multiLevelType w:val="hybridMultilevel"/>
    <w:tmpl w:val="8B70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D6499"/>
    <w:multiLevelType w:val="hybridMultilevel"/>
    <w:tmpl w:val="135A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C2DEF"/>
    <w:multiLevelType w:val="hybridMultilevel"/>
    <w:tmpl w:val="C1C4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E7413"/>
    <w:multiLevelType w:val="hybridMultilevel"/>
    <w:tmpl w:val="7DB8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43FFC"/>
    <w:multiLevelType w:val="hybridMultilevel"/>
    <w:tmpl w:val="D08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059B1"/>
    <w:multiLevelType w:val="hybridMultilevel"/>
    <w:tmpl w:val="584E3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16E0C"/>
    <w:multiLevelType w:val="hybridMultilevel"/>
    <w:tmpl w:val="48AC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E1D1E"/>
    <w:multiLevelType w:val="hybridMultilevel"/>
    <w:tmpl w:val="587E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E3F03"/>
    <w:multiLevelType w:val="hybridMultilevel"/>
    <w:tmpl w:val="8B2E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61E68"/>
    <w:multiLevelType w:val="hybridMultilevel"/>
    <w:tmpl w:val="886C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
  </w:num>
  <w:num w:numId="4">
    <w:abstractNumId w:val="19"/>
  </w:num>
  <w:num w:numId="5">
    <w:abstractNumId w:val="32"/>
  </w:num>
  <w:num w:numId="6">
    <w:abstractNumId w:val="8"/>
  </w:num>
  <w:num w:numId="7">
    <w:abstractNumId w:val="26"/>
  </w:num>
  <w:num w:numId="8">
    <w:abstractNumId w:val="28"/>
  </w:num>
  <w:num w:numId="9">
    <w:abstractNumId w:val="3"/>
  </w:num>
  <w:num w:numId="10">
    <w:abstractNumId w:val="7"/>
  </w:num>
  <w:num w:numId="11">
    <w:abstractNumId w:val="30"/>
  </w:num>
  <w:num w:numId="12">
    <w:abstractNumId w:val="4"/>
  </w:num>
  <w:num w:numId="13">
    <w:abstractNumId w:val="9"/>
  </w:num>
  <w:num w:numId="14">
    <w:abstractNumId w:val="35"/>
  </w:num>
  <w:num w:numId="15">
    <w:abstractNumId w:val="22"/>
  </w:num>
  <w:num w:numId="16">
    <w:abstractNumId w:val="17"/>
  </w:num>
  <w:num w:numId="17">
    <w:abstractNumId w:val="24"/>
  </w:num>
  <w:num w:numId="18">
    <w:abstractNumId w:val="21"/>
  </w:num>
  <w:num w:numId="19">
    <w:abstractNumId w:val="11"/>
  </w:num>
  <w:num w:numId="20">
    <w:abstractNumId w:val="16"/>
  </w:num>
  <w:num w:numId="21">
    <w:abstractNumId w:val="6"/>
  </w:num>
  <w:num w:numId="22">
    <w:abstractNumId w:val="34"/>
  </w:num>
  <w:num w:numId="23">
    <w:abstractNumId w:val="5"/>
  </w:num>
  <w:num w:numId="24">
    <w:abstractNumId w:val="15"/>
  </w:num>
  <w:num w:numId="25">
    <w:abstractNumId w:val="0"/>
  </w:num>
  <w:num w:numId="26">
    <w:abstractNumId w:val="20"/>
  </w:num>
  <w:num w:numId="27">
    <w:abstractNumId w:val="14"/>
  </w:num>
  <w:num w:numId="28">
    <w:abstractNumId w:val="12"/>
  </w:num>
  <w:num w:numId="29">
    <w:abstractNumId w:val="13"/>
  </w:num>
  <w:num w:numId="30">
    <w:abstractNumId w:val="18"/>
  </w:num>
  <w:num w:numId="31">
    <w:abstractNumId w:val="10"/>
  </w:num>
  <w:num w:numId="32">
    <w:abstractNumId w:val="27"/>
  </w:num>
  <w:num w:numId="33">
    <w:abstractNumId w:val="2"/>
  </w:num>
  <w:num w:numId="34">
    <w:abstractNumId w:val="31"/>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DA"/>
    <w:rsid w:val="00161102"/>
    <w:rsid w:val="00416FDD"/>
    <w:rsid w:val="00542244"/>
    <w:rsid w:val="00590823"/>
    <w:rsid w:val="005E6A15"/>
    <w:rsid w:val="00637D98"/>
    <w:rsid w:val="006E4AF1"/>
    <w:rsid w:val="006F0D9D"/>
    <w:rsid w:val="007C4DFB"/>
    <w:rsid w:val="00896689"/>
    <w:rsid w:val="00966800"/>
    <w:rsid w:val="009A2C6A"/>
    <w:rsid w:val="009A5F68"/>
    <w:rsid w:val="009A734C"/>
    <w:rsid w:val="00A13E39"/>
    <w:rsid w:val="00A22200"/>
    <w:rsid w:val="00A6612A"/>
    <w:rsid w:val="00C25769"/>
    <w:rsid w:val="00CA18D0"/>
    <w:rsid w:val="00CB450E"/>
    <w:rsid w:val="00CF30DA"/>
    <w:rsid w:val="00DD03DB"/>
    <w:rsid w:val="00E05EE2"/>
    <w:rsid w:val="00E32347"/>
    <w:rsid w:val="00FC0EC7"/>
    <w:rsid w:val="00F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1C6F"/>
  <w15:chartTrackingRefBased/>
  <w15:docId w15:val="{BDA50C34-ECE5-4678-AFDA-9D4FDBB1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DA"/>
  </w:style>
  <w:style w:type="paragraph" w:styleId="Footer">
    <w:name w:val="footer"/>
    <w:basedOn w:val="Normal"/>
    <w:link w:val="FooterChar"/>
    <w:uiPriority w:val="99"/>
    <w:unhideWhenUsed/>
    <w:rsid w:val="00CF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DA"/>
  </w:style>
  <w:style w:type="character" w:styleId="Hyperlink">
    <w:name w:val="Hyperlink"/>
    <w:basedOn w:val="DefaultParagraphFont"/>
    <w:uiPriority w:val="99"/>
    <w:unhideWhenUsed/>
    <w:rsid w:val="00CF30DA"/>
    <w:rPr>
      <w:color w:val="0563C1" w:themeColor="hyperlink"/>
      <w:u w:val="single"/>
    </w:rPr>
  </w:style>
  <w:style w:type="character" w:styleId="FollowedHyperlink">
    <w:name w:val="FollowedHyperlink"/>
    <w:basedOn w:val="DefaultParagraphFont"/>
    <w:uiPriority w:val="99"/>
    <w:semiHidden/>
    <w:unhideWhenUsed/>
    <w:rsid w:val="00CF30DA"/>
    <w:rPr>
      <w:color w:val="954F72" w:themeColor="followedHyperlink"/>
      <w:u w:val="single"/>
    </w:rPr>
  </w:style>
  <w:style w:type="paragraph" w:styleId="ListParagraph">
    <w:name w:val="List Paragraph"/>
    <w:basedOn w:val="Normal"/>
    <w:uiPriority w:val="34"/>
    <w:qFormat/>
    <w:rsid w:val="00CF30DA"/>
    <w:pPr>
      <w:ind w:left="720"/>
      <w:contextualSpacing/>
    </w:pPr>
  </w:style>
  <w:style w:type="paragraph" w:styleId="BalloonText">
    <w:name w:val="Balloon Text"/>
    <w:basedOn w:val="Normal"/>
    <w:link w:val="BalloonTextChar"/>
    <w:uiPriority w:val="99"/>
    <w:semiHidden/>
    <w:unhideWhenUsed/>
    <w:rsid w:val="00CF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DA"/>
    <w:rPr>
      <w:rFonts w:ascii="Segoe UI" w:hAnsi="Segoe UI" w:cs="Segoe UI"/>
      <w:sz w:val="18"/>
      <w:szCs w:val="18"/>
    </w:rPr>
  </w:style>
  <w:style w:type="character" w:styleId="CommentReference">
    <w:name w:val="annotation reference"/>
    <w:basedOn w:val="DefaultParagraphFont"/>
    <w:uiPriority w:val="99"/>
    <w:semiHidden/>
    <w:unhideWhenUsed/>
    <w:rsid w:val="00CF30DA"/>
    <w:rPr>
      <w:sz w:val="16"/>
      <w:szCs w:val="16"/>
    </w:rPr>
  </w:style>
  <w:style w:type="paragraph" w:styleId="CommentText">
    <w:name w:val="annotation text"/>
    <w:basedOn w:val="Normal"/>
    <w:link w:val="CommentTextChar"/>
    <w:uiPriority w:val="99"/>
    <w:semiHidden/>
    <w:unhideWhenUsed/>
    <w:rsid w:val="00CF30DA"/>
    <w:pPr>
      <w:spacing w:line="240" w:lineRule="auto"/>
    </w:pPr>
    <w:rPr>
      <w:sz w:val="20"/>
      <w:szCs w:val="20"/>
    </w:rPr>
  </w:style>
  <w:style w:type="character" w:customStyle="1" w:styleId="CommentTextChar">
    <w:name w:val="Comment Text Char"/>
    <w:basedOn w:val="DefaultParagraphFont"/>
    <w:link w:val="CommentText"/>
    <w:uiPriority w:val="99"/>
    <w:semiHidden/>
    <w:rsid w:val="00CF30DA"/>
    <w:rPr>
      <w:sz w:val="20"/>
      <w:szCs w:val="20"/>
    </w:rPr>
  </w:style>
  <w:style w:type="paragraph" w:styleId="CommentSubject">
    <w:name w:val="annotation subject"/>
    <w:basedOn w:val="CommentText"/>
    <w:next w:val="CommentText"/>
    <w:link w:val="CommentSubjectChar"/>
    <w:uiPriority w:val="99"/>
    <w:semiHidden/>
    <w:unhideWhenUsed/>
    <w:rsid w:val="00CF30DA"/>
    <w:rPr>
      <w:b/>
      <w:bCs/>
    </w:rPr>
  </w:style>
  <w:style w:type="character" w:customStyle="1" w:styleId="CommentSubjectChar">
    <w:name w:val="Comment Subject Char"/>
    <w:basedOn w:val="CommentTextChar"/>
    <w:link w:val="CommentSubject"/>
    <w:uiPriority w:val="99"/>
    <w:semiHidden/>
    <w:rsid w:val="00CF30DA"/>
    <w:rPr>
      <w:b/>
      <w:bCs/>
      <w:sz w:val="20"/>
      <w:szCs w:val="20"/>
    </w:rPr>
  </w:style>
  <w:style w:type="paragraph" w:styleId="Revision">
    <w:name w:val="Revision"/>
    <w:hidden/>
    <w:uiPriority w:val="99"/>
    <w:semiHidden/>
    <w:rsid w:val="00CF3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aa.unt.edu/sites/default/files/FacultyOverload_OfferLetterTemplate.doc" TargetMode="External"/><Relationship Id="rId13" Type="http://schemas.openxmlformats.org/officeDocument/2006/relationships/hyperlink" Target="https://facultysuccess.unt.edu/conference-support-and-creative-and-research-enhancement-activity-time-engagement-create-program" TargetMode="External"/><Relationship Id="rId18" Type="http://schemas.openxmlformats.org/officeDocument/2006/relationships/hyperlink" Target="mailto:Dilana.king@unt.edu" TargetMode="External"/><Relationship Id="rId26" Type="http://schemas.openxmlformats.org/officeDocument/2006/relationships/hyperlink" Target="https://www.untsystem.edu/forms/human-resources/supplemental-or-task-pay-request-un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ilana.King@unt.edu" TargetMode="External"/><Relationship Id="rId34" Type="http://schemas.openxmlformats.org/officeDocument/2006/relationships/hyperlink" Target="https://vpaa.unt.edu/graduate-student-recruitment-retention-plan" TargetMode="External"/><Relationship Id="rId7" Type="http://schemas.openxmlformats.org/officeDocument/2006/relationships/hyperlink" Target="https://vpaa.unt.edu/sites/default/files/Adjunct%20Hiring%20Process%20Step-by-Step.pdf" TargetMode="External"/><Relationship Id="rId12" Type="http://schemas.openxmlformats.org/officeDocument/2006/relationships/hyperlink" Target="http://clear.unt.edu/policies-procedures" TargetMode="External"/><Relationship Id="rId17" Type="http://schemas.openxmlformats.org/officeDocument/2006/relationships/hyperlink" Target="https://facultysuccess.unt.edu/sites/default/files/u67/create_final_report.pdf" TargetMode="External"/><Relationship Id="rId25" Type="http://schemas.openxmlformats.org/officeDocument/2006/relationships/hyperlink" Target="https://www.untsystem.edu/forms/human-resources/supplemental-or-task-pay-request-unt" TargetMode="External"/><Relationship Id="rId33" Type="http://schemas.openxmlformats.org/officeDocument/2006/relationships/hyperlink" Target="https://vpaa.unt.edu/faculty-resources/forms-and-template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acultysuccess.unt.edu/sites/default/files/u67/create_initial_report.pdf" TargetMode="External"/><Relationship Id="rId20" Type="http://schemas.openxmlformats.org/officeDocument/2006/relationships/hyperlink" Target="https://facultysuccess.unt.edu/tenure-and-promotion-forms" TargetMode="External"/><Relationship Id="rId29" Type="http://schemas.openxmlformats.org/officeDocument/2006/relationships/hyperlink" Target="https://budget.unt.edu/sites/default/files/Chartfield%20Setup-Change%20For%20%28UNT%20Budget%20Office%29.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nt.edu/sites/default/files/07.001_StudentTravel_2012_0.pdf" TargetMode="External"/><Relationship Id="rId24" Type="http://schemas.openxmlformats.org/officeDocument/2006/relationships/hyperlink" Target="http://vpaa.unt.edu/sites/default/files/Task_Augmentation%20Certification%20Form.pdf" TargetMode="External"/><Relationship Id="rId32" Type="http://schemas.openxmlformats.org/officeDocument/2006/relationships/hyperlink" Target="https://vpaa.unt.edu/sites/default/files/The%20Guidebook%20for%20Instruction%20Related%20Feesv4.pdf" TargetMode="External"/><Relationship Id="rId37" Type="http://schemas.openxmlformats.org/officeDocument/2006/relationships/hyperlink" Target="https://vpaa.unt.edu/graduate-student-recruitment-retention-pla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acultysuccess.unt.edu/conference-support-and-creative-and-research-enhancement-activity-time-engagement-create-program" TargetMode="External"/><Relationship Id="rId23" Type="http://schemas.openxmlformats.org/officeDocument/2006/relationships/hyperlink" Target="https://www.untsystem.edu/forms/human-resources/supplemental-or-task-pay-request-unt" TargetMode="External"/><Relationship Id="rId28" Type="http://schemas.openxmlformats.org/officeDocument/2006/relationships/hyperlink" Target="http://vpaa.unt.edu/sites/default/files/VPAA11C%20(002).pdf" TargetMode="External"/><Relationship Id="rId36" Type="http://schemas.openxmlformats.org/officeDocument/2006/relationships/hyperlink" Target="http://vpaa.unt.edu/sites/default/files/Graduate%20Student%20Pay%20Schedule%20FY16%20.pdf" TargetMode="External"/><Relationship Id="rId10" Type="http://schemas.openxmlformats.org/officeDocument/2006/relationships/hyperlink" Target="http://vpaa.unt.edu/current-initiatives/summer-school" TargetMode="External"/><Relationship Id="rId19" Type="http://schemas.openxmlformats.org/officeDocument/2006/relationships/hyperlink" Target="mailto:christy.crutsinger@unt.edu" TargetMode="External"/><Relationship Id="rId31" Type="http://schemas.openxmlformats.org/officeDocument/2006/relationships/hyperlink" Target="https://endow.unt.edu/sites/default/files/disbursement-authorization.pdf" TargetMode="External"/><Relationship Id="rId4" Type="http://schemas.openxmlformats.org/officeDocument/2006/relationships/webSettings" Target="webSettings.xml"/><Relationship Id="rId9" Type="http://schemas.openxmlformats.org/officeDocument/2006/relationships/hyperlink" Target="mailto:Dilana.King@unt.edu" TargetMode="External"/><Relationship Id="rId14" Type="http://schemas.openxmlformats.org/officeDocument/2006/relationships/hyperlink" Target="https://facultysuccess.unt.edu/sites/default/files/u67/conference_support_report.pdf" TargetMode="External"/><Relationship Id="rId22" Type="http://schemas.openxmlformats.org/officeDocument/2006/relationships/hyperlink" Target="https://www.untsystem.edu/forms/human-resources/supplemental-or-task-pay-request-unt" TargetMode="External"/><Relationship Id="rId27" Type="http://schemas.openxmlformats.org/officeDocument/2006/relationships/hyperlink" Target="http://vpaa.unt.edu/sites/default/files/Task_Augmentation%20Certification%20Form.pdf" TargetMode="External"/><Relationship Id="rId30" Type="http://schemas.openxmlformats.org/officeDocument/2006/relationships/hyperlink" Target="mailto:Brenda.Cates@unt.edu" TargetMode="External"/><Relationship Id="rId35" Type="http://schemas.openxmlformats.org/officeDocument/2006/relationships/hyperlink" Target="https://vpaa.unt.edu/faculty-resources/recruitment-and-compensation/faculty-recrui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Jessica</dc:creator>
  <cp:keywords/>
  <dc:description/>
  <cp:lastModifiedBy>Scott, Jessica</cp:lastModifiedBy>
  <cp:revision>4</cp:revision>
  <dcterms:created xsi:type="dcterms:W3CDTF">2017-08-28T19:42:00Z</dcterms:created>
  <dcterms:modified xsi:type="dcterms:W3CDTF">2017-09-22T14:41:00Z</dcterms:modified>
</cp:coreProperties>
</file>